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CB9" w:rsidRDefault="00982CB9" w:rsidP="00296DD2">
      <w:pPr>
        <w:spacing w:before="280" w:after="280" w:line="288" w:lineRule="auto"/>
        <w:jc w:val="center"/>
        <w:rPr>
          <w:rFonts w:ascii="Century Gothic" w:eastAsia="Century Gothic" w:hAnsi="Century Gothic" w:cs="Calibri"/>
          <w:b/>
          <w:spacing w:val="20"/>
          <w:sz w:val="20"/>
          <w:szCs w:val="20"/>
          <w:u w:val="single"/>
        </w:rPr>
      </w:pPr>
      <w:r>
        <w:rPr>
          <w:rFonts w:ascii="Century Gothic" w:eastAsia="Century Gothic" w:hAnsi="Century Gothic" w:cs="Calibri"/>
          <w:b/>
          <w:noProof/>
          <w:spacing w:val="20"/>
          <w:sz w:val="22"/>
          <w:szCs w:val="22"/>
          <w:u w:val="single"/>
          <w:lang w:val="es-AR" w:eastAsia="es-AR"/>
        </w:rPr>
        <w:drawing>
          <wp:anchor distT="0" distB="0" distL="114300" distR="114300" simplePos="0" relativeHeight="251658240" behindDoc="0" locked="0" layoutInCell="1" allowOverlap="1" wp14:anchorId="70949F69" wp14:editId="10B48040">
            <wp:simplePos x="0" y="0"/>
            <wp:positionH relativeFrom="margin">
              <wp:align>right</wp:align>
            </wp:positionH>
            <wp:positionV relativeFrom="paragraph">
              <wp:posOffset>0</wp:posOffset>
            </wp:positionV>
            <wp:extent cx="5400040" cy="108013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logos.jpg"/>
                    <pic:cNvPicPr/>
                  </pic:nvPicPr>
                  <pic:blipFill>
                    <a:blip r:embed="rId4">
                      <a:extLst>
                        <a:ext uri="{28A0092B-C50C-407E-A947-70E740481C1C}">
                          <a14:useLocalDpi xmlns:a14="http://schemas.microsoft.com/office/drawing/2010/main" val="0"/>
                        </a:ext>
                      </a:extLst>
                    </a:blip>
                    <a:stretch>
                      <a:fillRect/>
                    </a:stretch>
                  </pic:blipFill>
                  <pic:spPr>
                    <a:xfrm>
                      <a:off x="0" y="0"/>
                      <a:ext cx="5400040" cy="1080135"/>
                    </a:xfrm>
                    <a:prstGeom prst="rect">
                      <a:avLst/>
                    </a:prstGeom>
                    <a:ln>
                      <a:noFill/>
                    </a:ln>
                  </pic:spPr>
                </pic:pic>
              </a:graphicData>
            </a:graphic>
          </wp:anchor>
        </w:drawing>
      </w:r>
    </w:p>
    <w:p w:rsidR="00AF3F07" w:rsidRPr="00982CB9" w:rsidRDefault="00AF3F07" w:rsidP="00296DD2">
      <w:pPr>
        <w:spacing w:before="280" w:after="280" w:line="288" w:lineRule="auto"/>
        <w:jc w:val="center"/>
        <w:rPr>
          <w:rFonts w:ascii="Century Gothic" w:eastAsia="Century Gothic" w:hAnsi="Century Gothic" w:cs="Calibri"/>
          <w:b/>
          <w:spacing w:val="20"/>
          <w:sz w:val="20"/>
          <w:szCs w:val="20"/>
          <w:u w:val="single"/>
        </w:rPr>
      </w:pPr>
      <w:r w:rsidRPr="00982CB9">
        <w:rPr>
          <w:rFonts w:ascii="Century Gothic" w:eastAsia="Century Gothic" w:hAnsi="Century Gothic" w:cs="Calibri"/>
          <w:b/>
          <w:spacing w:val="20"/>
          <w:sz w:val="20"/>
          <w:szCs w:val="20"/>
          <w:u w:val="single"/>
        </w:rPr>
        <w:t>FUNDAMENTOS</w:t>
      </w:r>
    </w:p>
    <w:p w:rsidR="00AF3F07" w:rsidRPr="00982CB9" w:rsidRDefault="00AF3F07" w:rsidP="00296DD2">
      <w:pPr>
        <w:spacing w:before="280" w:after="280" w:line="288" w:lineRule="auto"/>
        <w:ind w:firstLine="1134"/>
        <w:jc w:val="both"/>
        <w:rPr>
          <w:rFonts w:ascii="Century Gothic" w:eastAsia="Century Gothic" w:hAnsi="Century Gothic" w:cs="Calibri"/>
          <w:spacing w:val="20"/>
          <w:sz w:val="20"/>
          <w:szCs w:val="20"/>
        </w:rPr>
      </w:pPr>
      <w:r w:rsidRPr="00982CB9">
        <w:rPr>
          <w:rFonts w:ascii="Century Gothic" w:eastAsia="Century Gothic" w:hAnsi="Century Gothic" w:cs="Calibri"/>
          <w:spacing w:val="20"/>
          <w:sz w:val="20"/>
          <w:szCs w:val="20"/>
        </w:rPr>
        <w:t>Mediante la Ley N° 11172, sancionada el 10</w:t>
      </w:r>
      <w:r w:rsidR="00296DD2" w:rsidRPr="00982CB9">
        <w:rPr>
          <w:rFonts w:ascii="Century Gothic" w:eastAsia="Century Gothic" w:hAnsi="Century Gothic" w:cs="Calibri"/>
          <w:spacing w:val="20"/>
          <w:sz w:val="20"/>
          <w:szCs w:val="20"/>
        </w:rPr>
        <w:t xml:space="preserve"> de </w:t>
      </w:r>
      <w:r w:rsidRPr="00982CB9">
        <w:rPr>
          <w:rFonts w:ascii="Century Gothic" w:eastAsia="Century Gothic" w:hAnsi="Century Gothic" w:cs="Calibri"/>
          <w:spacing w:val="20"/>
          <w:sz w:val="20"/>
          <w:szCs w:val="20"/>
        </w:rPr>
        <w:t>diciembre</w:t>
      </w:r>
      <w:r w:rsidR="00296DD2" w:rsidRPr="00982CB9">
        <w:rPr>
          <w:rFonts w:ascii="Century Gothic" w:eastAsia="Century Gothic" w:hAnsi="Century Gothic" w:cs="Calibri"/>
          <w:spacing w:val="20"/>
          <w:sz w:val="20"/>
          <w:szCs w:val="20"/>
        </w:rPr>
        <w:t xml:space="preserve"> de 2024</w:t>
      </w:r>
      <w:r w:rsidRPr="00982CB9">
        <w:rPr>
          <w:rFonts w:ascii="Century Gothic" w:eastAsia="Century Gothic" w:hAnsi="Century Gothic" w:cs="Calibri"/>
          <w:spacing w:val="20"/>
          <w:sz w:val="20"/>
          <w:szCs w:val="20"/>
        </w:rPr>
        <w:t xml:space="preserve"> </w:t>
      </w:r>
      <w:r w:rsidR="00296DD2" w:rsidRPr="00982CB9">
        <w:rPr>
          <w:rFonts w:ascii="Century Gothic" w:eastAsia="Century Gothic" w:hAnsi="Century Gothic" w:cs="Calibri"/>
          <w:spacing w:val="20"/>
          <w:sz w:val="20"/>
          <w:szCs w:val="20"/>
        </w:rPr>
        <w:t>–</w:t>
      </w:r>
      <w:r w:rsidRPr="00982CB9">
        <w:rPr>
          <w:rFonts w:ascii="Century Gothic" w:eastAsia="Century Gothic" w:hAnsi="Century Gothic" w:cs="Calibri"/>
          <w:spacing w:val="20"/>
          <w:sz w:val="20"/>
          <w:szCs w:val="20"/>
        </w:rPr>
        <w:t>que sustituyó el Inciso d) del Artículo 197° del Código Fiscal (</w:t>
      </w:r>
      <w:proofErr w:type="spellStart"/>
      <w:r w:rsidRPr="00982CB9">
        <w:rPr>
          <w:rFonts w:ascii="Century Gothic" w:eastAsia="Century Gothic" w:hAnsi="Century Gothic" w:cs="Calibri"/>
          <w:spacing w:val="20"/>
          <w:sz w:val="20"/>
          <w:szCs w:val="20"/>
        </w:rPr>
        <w:t>t.o</w:t>
      </w:r>
      <w:proofErr w:type="spellEnd"/>
      <w:r w:rsidRPr="00982CB9">
        <w:rPr>
          <w:rFonts w:ascii="Century Gothic" w:eastAsia="Century Gothic" w:hAnsi="Century Gothic" w:cs="Calibri"/>
          <w:spacing w:val="20"/>
          <w:sz w:val="20"/>
          <w:szCs w:val="20"/>
        </w:rPr>
        <w:t>. 2022</w:t>
      </w:r>
      <w:r w:rsidR="00296DD2" w:rsidRPr="00982CB9">
        <w:rPr>
          <w:rFonts w:ascii="Century Gothic" w:eastAsia="Century Gothic" w:hAnsi="Century Gothic" w:cs="Calibri"/>
          <w:spacing w:val="20"/>
          <w:sz w:val="20"/>
          <w:szCs w:val="20"/>
        </w:rPr>
        <w:t>)–</w:t>
      </w:r>
      <w:r w:rsidRPr="00982CB9">
        <w:rPr>
          <w:rFonts w:ascii="Century Gothic" w:eastAsia="Century Gothic" w:hAnsi="Century Gothic" w:cs="Calibri"/>
          <w:spacing w:val="20"/>
          <w:sz w:val="20"/>
          <w:szCs w:val="20"/>
        </w:rPr>
        <w:t>, se  eximió del Impuesto sobre los Ingresos Brutos  a los servicios de Radiodifusión por  suscripción mediante vinculo por cable y a los servicios de Radiodifusión por suscripción mediante vinculo radioeléctrico UHF en áreas rurales entrerrianas, siempre que tengan domicilio fiscal en Entre Ríos y que presenten servicios en localidades con población de hasta 60.000 habitantes y que produzcan contenidos propios.</w:t>
      </w:r>
    </w:p>
    <w:p w:rsidR="00AF3F07" w:rsidRPr="00982CB9" w:rsidRDefault="00AF3F07" w:rsidP="00296DD2">
      <w:pPr>
        <w:spacing w:before="280" w:after="280" w:line="288" w:lineRule="auto"/>
        <w:ind w:firstLine="1134"/>
        <w:jc w:val="both"/>
        <w:rPr>
          <w:rFonts w:ascii="Century Gothic" w:eastAsia="Century Gothic" w:hAnsi="Century Gothic" w:cs="Calibri"/>
          <w:spacing w:val="20"/>
          <w:sz w:val="20"/>
          <w:szCs w:val="20"/>
        </w:rPr>
      </w:pPr>
      <w:r w:rsidRPr="00982CB9">
        <w:rPr>
          <w:rFonts w:ascii="Century Gothic" w:eastAsia="Century Gothic" w:hAnsi="Century Gothic" w:cs="Calibri"/>
          <w:spacing w:val="20"/>
          <w:sz w:val="20"/>
          <w:szCs w:val="20"/>
        </w:rPr>
        <w:t>Ahora bien, cuando se publicó la norma (B.O. del 2</w:t>
      </w:r>
      <w:r w:rsidR="00296DD2" w:rsidRPr="00982CB9">
        <w:rPr>
          <w:rFonts w:ascii="Century Gothic" w:eastAsia="Century Gothic" w:hAnsi="Century Gothic" w:cs="Calibri"/>
          <w:spacing w:val="20"/>
          <w:sz w:val="20"/>
          <w:szCs w:val="20"/>
        </w:rPr>
        <w:t>7/12</w:t>
      </w:r>
      <w:r w:rsidRPr="00982CB9">
        <w:rPr>
          <w:rFonts w:ascii="Century Gothic" w:eastAsia="Century Gothic" w:hAnsi="Century Gothic" w:cs="Calibri"/>
          <w:spacing w:val="20"/>
          <w:sz w:val="20"/>
          <w:szCs w:val="20"/>
        </w:rPr>
        <w:t xml:space="preserve">/2024) se omitió en su texto “los servicios de Radiodifusión por  suscripción mediante vinculo por cable”, error que meritó una fe de erratas de parte del Boletín Oficial del </w:t>
      </w:r>
      <w:r w:rsidR="00296DD2" w:rsidRPr="00982CB9">
        <w:rPr>
          <w:rFonts w:ascii="Century Gothic" w:eastAsia="Century Gothic" w:hAnsi="Century Gothic" w:cs="Calibri"/>
          <w:spacing w:val="20"/>
          <w:sz w:val="20"/>
          <w:szCs w:val="20"/>
        </w:rPr>
        <w:t>08/07</w:t>
      </w:r>
      <w:r w:rsidRPr="00982CB9">
        <w:rPr>
          <w:rFonts w:ascii="Century Gothic" w:eastAsia="Century Gothic" w:hAnsi="Century Gothic" w:cs="Calibri"/>
          <w:spacing w:val="20"/>
          <w:sz w:val="20"/>
          <w:szCs w:val="20"/>
        </w:rPr>
        <w:t>/2025.</w:t>
      </w:r>
    </w:p>
    <w:p w:rsidR="00AF3F07" w:rsidRPr="00982CB9" w:rsidRDefault="00AF3F07" w:rsidP="00296DD2">
      <w:pPr>
        <w:spacing w:before="280" w:after="280" w:line="288" w:lineRule="auto"/>
        <w:ind w:firstLine="1134"/>
        <w:jc w:val="both"/>
        <w:rPr>
          <w:rFonts w:ascii="Century Gothic" w:eastAsia="Century Gothic" w:hAnsi="Century Gothic" w:cs="Calibri"/>
          <w:spacing w:val="20"/>
          <w:sz w:val="20"/>
          <w:szCs w:val="20"/>
        </w:rPr>
      </w:pPr>
      <w:r w:rsidRPr="00982CB9">
        <w:rPr>
          <w:rFonts w:ascii="Century Gothic" w:eastAsia="Century Gothic" w:hAnsi="Century Gothic" w:cs="Calibri"/>
          <w:spacing w:val="20"/>
          <w:sz w:val="20"/>
          <w:szCs w:val="20"/>
        </w:rPr>
        <w:t xml:space="preserve">Con la Ley N° 11247 se amplió el beneficio a los prestadores de servicios de internet que realicen sus actividades en localidades de hasta 60.000 habitantes.  No obstante, por un error involuntario, en el primer párrafo del Artículo 7º de la mencionada Ley –también modificatorio del Inciso d) del Artículo 197º del </w:t>
      </w:r>
      <w:proofErr w:type="spellStart"/>
      <w:r w:rsidRPr="00982CB9">
        <w:rPr>
          <w:rFonts w:ascii="Century Gothic" w:eastAsia="Century Gothic" w:hAnsi="Century Gothic" w:cs="Calibri"/>
          <w:spacing w:val="20"/>
          <w:sz w:val="20"/>
          <w:szCs w:val="20"/>
        </w:rPr>
        <w:t>Codigo</w:t>
      </w:r>
      <w:proofErr w:type="spellEnd"/>
      <w:r w:rsidRPr="00982CB9">
        <w:rPr>
          <w:rFonts w:ascii="Century Gothic" w:eastAsia="Century Gothic" w:hAnsi="Century Gothic" w:cs="Calibri"/>
          <w:spacing w:val="20"/>
          <w:sz w:val="20"/>
          <w:szCs w:val="20"/>
        </w:rPr>
        <w:t xml:space="preserve"> Fiscal ( </w:t>
      </w:r>
      <w:proofErr w:type="spellStart"/>
      <w:r w:rsidRPr="00982CB9">
        <w:rPr>
          <w:rFonts w:ascii="Century Gothic" w:eastAsia="Century Gothic" w:hAnsi="Century Gothic" w:cs="Calibri"/>
          <w:spacing w:val="20"/>
          <w:sz w:val="20"/>
          <w:szCs w:val="20"/>
        </w:rPr>
        <w:t>t.o</w:t>
      </w:r>
      <w:proofErr w:type="spellEnd"/>
      <w:r w:rsidRPr="00982CB9">
        <w:rPr>
          <w:rFonts w:ascii="Century Gothic" w:eastAsia="Century Gothic" w:hAnsi="Century Gothic" w:cs="Calibri"/>
          <w:spacing w:val="20"/>
          <w:sz w:val="20"/>
          <w:szCs w:val="20"/>
        </w:rPr>
        <w:t>. 2022)–, se omitió la siguiente frase: “…los sistemas de Radiodifusión por suscripción mediante vinculo físico por cable….” (</w:t>
      </w:r>
      <w:proofErr w:type="gramStart"/>
      <w:r w:rsidRPr="00982CB9">
        <w:rPr>
          <w:rFonts w:ascii="Century Gothic" w:eastAsia="Century Gothic" w:hAnsi="Century Gothic" w:cs="Calibri"/>
          <w:spacing w:val="20"/>
          <w:sz w:val="20"/>
          <w:szCs w:val="20"/>
        </w:rPr>
        <w:t>tal</w:t>
      </w:r>
      <w:proofErr w:type="gramEnd"/>
      <w:r w:rsidRPr="00982CB9">
        <w:rPr>
          <w:rFonts w:ascii="Century Gothic" w:eastAsia="Century Gothic" w:hAnsi="Century Gothic" w:cs="Calibri"/>
          <w:spacing w:val="20"/>
          <w:sz w:val="20"/>
          <w:szCs w:val="20"/>
        </w:rPr>
        <w:t xml:space="preserve"> como había sucedido en la publicación del Boletín Oficial del 27/diciembre/2024)</w:t>
      </w:r>
    </w:p>
    <w:p w:rsidR="00AF3F07" w:rsidRPr="00982CB9" w:rsidRDefault="00AF3F07" w:rsidP="00296DD2">
      <w:pPr>
        <w:spacing w:before="280" w:after="280" w:line="288" w:lineRule="auto"/>
        <w:ind w:firstLine="1134"/>
        <w:jc w:val="both"/>
        <w:rPr>
          <w:rFonts w:ascii="Century Gothic" w:eastAsia="Century Gothic" w:hAnsi="Century Gothic" w:cs="Calibri"/>
          <w:spacing w:val="20"/>
          <w:sz w:val="20"/>
          <w:szCs w:val="20"/>
        </w:rPr>
      </w:pPr>
      <w:r w:rsidRPr="00982CB9">
        <w:rPr>
          <w:rFonts w:ascii="Century Gothic" w:eastAsia="Century Gothic" w:hAnsi="Century Gothic" w:cs="Calibri"/>
          <w:spacing w:val="20"/>
          <w:sz w:val="20"/>
          <w:szCs w:val="20"/>
        </w:rPr>
        <w:t>Frente a esta situación, y no habiendo sido intención del legislador excluir de la exención a los sistemas de Radiodifusión mediante vinculo físico por cable –toda vez que no existe fundamento en la normativa aludida que avale una intención deliberada de exclusión–, deviene imprescindible corregir el error a fin que dichos servicios no queden excluidos del referido beneficio.</w:t>
      </w:r>
    </w:p>
    <w:p w:rsidR="00AF3F07" w:rsidRPr="00982CB9" w:rsidRDefault="00AF3F07" w:rsidP="00296DD2">
      <w:pPr>
        <w:spacing w:before="280" w:after="280" w:line="288" w:lineRule="auto"/>
        <w:ind w:firstLine="1134"/>
        <w:jc w:val="both"/>
        <w:rPr>
          <w:sz w:val="20"/>
          <w:szCs w:val="20"/>
        </w:rPr>
      </w:pPr>
      <w:r w:rsidRPr="00982CB9">
        <w:rPr>
          <w:rFonts w:ascii="Century Gothic" w:eastAsia="Century Gothic" w:hAnsi="Century Gothic" w:cs="Calibri"/>
          <w:spacing w:val="20"/>
          <w:sz w:val="20"/>
          <w:szCs w:val="20"/>
        </w:rPr>
        <w:t>Por tal motivo, se considera necesario incluir a los sistemas de Radiodifusión mediante vínculo físico por cable, en el beneficio previsto en el Art. 197 inc. d) del Código Fiscal (t.o.2022).</w:t>
      </w:r>
    </w:p>
    <w:p w:rsidR="00AF3F07" w:rsidRPr="00982CB9" w:rsidRDefault="00AF3F07" w:rsidP="00AF3F07">
      <w:pPr>
        <w:spacing w:before="100" w:beforeAutospacing="1" w:after="100" w:afterAutospacing="1"/>
        <w:ind w:firstLine="1134"/>
        <w:jc w:val="both"/>
        <w:outlineLvl w:val="2"/>
        <w:rPr>
          <w:rFonts w:ascii="Century Gothic" w:hAnsi="Century Gothic" w:cstheme="minorHAnsi"/>
          <w:color w:val="000000"/>
          <w:sz w:val="20"/>
          <w:szCs w:val="20"/>
          <w:lang w:eastAsia="es-AR"/>
        </w:rPr>
      </w:pPr>
    </w:p>
    <w:p w:rsidR="000A2F12" w:rsidRDefault="00711E20" w:rsidP="00AF3F07">
      <w:pPr>
        <w:rPr>
          <w:sz w:val="20"/>
          <w:szCs w:val="20"/>
        </w:rPr>
      </w:pPr>
      <w:r>
        <w:rPr>
          <w:noProof/>
          <w:sz w:val="20"/>
          <w:szCs w:val="20"/>
          <w:lang w:val="es-AR" w:eastAsia="es-AR"/>
        </w:rPr>
        <w:lastRenderedPageBreak/>
        <w:drawing>
          <wp:inline distT="0" distB="0" distL="0" distR="0">
            <wp:extent cx="5400040" cy="1080135"/>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logos.jpg"/>
                    <pic:cNvPicPr/>
                  </pic:nvPicPr>
                  <pic:blipFill>
                    <a:blip r:embed="rId4">
                      <a:extLst>
                        <a:ext uri="{28A0092B-C50C-407E-A947-70E740481C1C}">
                          <a14:useLocalDpi xmlns:a14="http://schemas.microsoft.com/office/drawing/2010/main" val="0"/>
                        </a:ext>
                      </a:extLst>
                    </a:blip>
                    <a:stretch>
                      <a:fillRect/>
                    </a:stretch>
                  </pic:blipFill>
                  <pic:spPr>
                    <a:xfrm>
                      <a:off x="0" y="0"/>
                      <a:ext cx="5400040" cy="1080135"/>
                    </a:xfrm>
                    <a:prstGeom prst="rect">
                      <a:avLst/>
                    </a:prstGeom>
                  </pic:spPr>
                </pic:pic>
              </a:graphicData>
            </a:graphic>
          </wp:inline>
        </w:drawing>
      </w:r>
    </w:p>
    <w:p w:rsidR="00711E20" w:rsidRDefault="00711E20" w:rsidP="00AF3F07">
      <w:pPr>
        <w:rPr>
          <w:sz w:val="20"/>
          <w:szCs w:val="20"/>
        </w:rPr>
      </w:pPr>
    </w:p>
    <w:p w:rsidR="00711E20" w:rsidRDefault="00711E20" w:rsidP="00AF3F07">
      <w:pPr>
        <w:rPr>
          <w:sz w:val="20"/>
          <w:szCs w:val="20"/>
        </w:rPr>
      </w:pPr>
    </w:p>
    <w:p w:rsidR="00711E20" w:rsidRDefault="00711E20" w:rsidP="00711E20">
      <w:pPr>
        <w:tabs>
          <w:tab w:val="center" w:pos="0"/>
          <w:tab w:val="left" w:pos="675"/>
          <w:tab w:val="center" w:pos="4252"/>
          <w:tab w:val="right" w:pos="8504"/>
        </w:tabs>
        <w:spacing w:line="288" w:lineRule="auto"/>
        <w:jc w:val="center"/>
        <w:rPr>
          <w:rFonts w:ascii="Century Gothic" w:eastAsia="Century Gothic" w:hAnsi="Century Gothic" w:cs="Century Gothic"/>
          <w:b/>
          <w:spacing w:val="20"/>
          <w:sz w:val="22"/>
          <w:szCs w:val="22"/>
        </w:rPr>
      </w:pPr>
    </w:p>
    <w:p w:rsidR="00711E20" w:rsidRPr="000E0AD7" w:rsidRDefault="00711E20" w:rsidP="00711E20">
      <w:pPr>
        <w:tabs>
          <w:tab w:val="center" w:pos="0"/>
          <w:tab w:val="left" w:pos="675"/>
          <w:tab w:val="center" w:pos="4252"/>
          <w:tab w:val="right" w:pos="8504"/>
        </w:tabs>
        <w:spacing w:line="288" w:lineRule="auto"/>
        <w:jc w:val="center"/>
        <w:rPr>
          <w:rFonts w:ascii="Century Gothic" w:eastAsia="Century Gothic" w:hAnsi="Century Gothic" w:cs="Century Gothic"/>
          <w:b/>
          <w:spacing w:val="20"/>
          <w:sz w:val="22"/>
          <w:szCs w:val="22"/>
        </w:rPr>
      </w:pPr>
      <w:r w:rsidRPr="000E0AD7">
        <w:rPr>
          <w:rFonts w:ascii="Century Gothic" w:eastAsia="Century Gothic" w:hAnsi="Century Gothic" w:cs="Century Gothic"/>
          <w:b/>
          <w:spacing w:val="20"/>
          <w:sz w:val="22"/>
          <w:szCs w:val="22"/>
        </w:rPr>
        <w:t>LA LEGISLATURA DE LA PROVINCIA DE ENTRE RÍOS SANCIONA CON  FUERZA DE</w:t>
      </w:r>
    </w:p>
    <w:p w:rsidR="00711E20" w:rsidRPr="000E0AD7" w:rsidRDefault="00711E20" w:rsidP="00711E20">
      <w:pPr>
        <w:tabs>
          <w:tab w:val="center" w:pos="0"/>
          <w:tab w:val="left" w:pos="675"/>
          <w:tab w:val="center" w:pos="4252"/>
          <w:tab w:val="right" w:pos="8504"/>
        </w:tabs>
        <w:spacing w:line="288" w:lineRule="auto"/>
        <w:jc w:val="center"/>
        <w:rPr>
          <w:rFonts w:ascii="Century Gothic" w:eastAsia="Century Gothic" w:hAnsi="Century Gothic" w:cs="Century Gothic"/>
          <w:b/>
          <w:spacing w:val="20"/>
          <w:sz w:val="22"/>
          <w:szCs w:val="22"/>
        </w:rPr>
      </w:pPr>
    </w:p>
    <w:p w:rsidR="00711E20" w:rsidRPr="000E0AD7" w:rsidRDefault="00711E20" w:rsidP="00711E20">
      <w:pPr>
        <w:tabs>
          <w:tab w:val="center" w:pos="0"/>
          <w:tab w:val="left" w:pos="675"/>
          <w:tab w:val="center" w:pos="4252"/>
          <w:tab w:val="right" w:pos="8504"/>
        </w:tabs>
        <w:spacing w:line="288" w:lineRule="auto"/>
        <w:jc w:val="center"/>
        <w:rPr>
          <w:rFonts w:ascii="Century Gothic" w:eastAsia="Century Gothic" w:hAnsi="Century Gothic" w:cs="Century Gothic"/>
          <w:b/>
          <w:spacing w:val="20"/>
          <w:sz w:val="22"/>
          <w:szCs w:val="22"/>
        </w:rPr>
      </w:pPr>
      <w:r>
        <w:rPr>
          <w:rFonts w:ascii="Century Gothic" w:eastAsia="Century Gothic" w:hAnsi="Century Gothic" w:cs="Century Gothic"/>
          <w:b/>
          <w:spacing w:val="20"/>
          <w:sz w:val="22"/>
          <w:szCs w:val="22"/>
        </w:rPr>
        <w:t>L E Y:</w:t>
      </w:r>
    </w:p>
    <w:p w:rsidR="00711E20" w:rsidRPr="000E0AD7" w:rsidRDefault="00711E20" w:rsidP="00711E20">
      <w:pPr>
        <w:jc w:val="both"/>
        <w:rPr>
          <w:rFonts w:ascii="Century Gothic" w:hAnsi="Century Gothic"/>
          <w:b/>
          <w:bCs/>
          <w:lang w:val="es-AR"/>
        </w:rPr>
      </w:pPr>
    </w:p>
    <w:p w:rsidR="00711E20" w:rsidRDefault="00711E20" w:rsidP="00711E20">
      <w:pPr>
        <w:jc w:val="both"/>
        <w:rPr>
          <w:rFonts w:ascii="Century Gothic" w:hAnsi="Century Gothic"/>
          <w:b/>
          <w:bCs/>
          <w:sz w:val="22"/>
          <w:szCs w:val="22"/>
          <w:lang w:val="es-AR"/>
        </w:rPr>
      </w:pPr>
    </w:p>
    <w:p w:rsidR="00711E20" w:rsidRDefault="00711E20" w:rsidP="00711E20">
      <w:pPr>
        <w:spacing w:line="288" w:lineRule="auto"/>
        <w:jc w:val="both"/>
        <w:rPr>
          <w:rFonts w:ascii="Century Gothic" w:hAnsi="Century Gothic"/>
          <w:sz w:val="22"/>
          <w:szCs w:val="22"/>
          <w:lang w:val="es-AR"/>
        </w:rPr>
      </w:pPr>
      <w:r>
        <w:rPr>
          <w:rFonts w:ascii="Century Gothic" w:hAnsi="Century Gothic"/>
          <w:b/>
          <w:bCs/>
          <w:spacing w:val="20"/>
          <w:sz w:val="22"/>
          <w:szCs w:val="22"/>
          <w:lang w:val="es-AR"/>
        </w:rPr>
        <w:t>ARTÍCULO 1° -</w:t>
      </w:r>
      <w:r>
        <w:rPr>
          <w:rFonts w:ascii="Century Gothic" w:hAnsi="Century Gothic"/>
          <w:spacing w:val="20"/>
          <w:sz w:val="22"/>
          <w:szCs w:val="22"/>
          <w:lang w:val="es-AR"/>
        </w:rPr>
        <w:t xml:space="preserve"> Modifíquese el inciso d) del Artículo 197° del Código </w:t>
      </w:r>
      <w:bookmarkStart w:id="0" w:name="_GoBack"/>
      <w:r>
        <w:rPr>
          <w:rFonts w:ascii="Century Gothic" w:hAnsi="Century Gothic"/>
          <w:spacing w:val="20"/>
          <w:sz w:val="22"/>
          <w:szCs w:val="22"/>
          <w:lang w:val="es-AR"/>
        </w:rPr>
        <w:t>Fiscal (</w:t>
      </w:r>
      <w:proofErr w:type="spellStart"/>
      <w:r>
        <w:rPr>
          <w:rFonts w:ascii="Century Gothic" w:hAnsi="Century Gothic"/>
          <w:spacing w:val="20"/>
          <w:sz w:val="22"/>
          <w:szCs w:val="22"/>
          <w:lang w:val="es-AR"/>
        </w:rPr>
        <w:t>t.o</w:t>
      </w:r>
      <w:proofErr w:type="spellEnd"/>
      <w:r>
        <w:rPr>
          <w:rFonts w:ascii="Century Gothic" w:hAnsi="Century Gothic"/>
          <w:spacing w:val="20"/>
          <w:sz w:val="22"/>
          <w:szCs w:val="22"/>
          <w:lang w:val="es-AR"/>
        </w:rPr>
        <w:t>. 2022), el que quedará redactado de la siguiente manera:</w:t>
      </w:r>
    </w:p>
    <w:bookmarkEnd w:id="0"/>
    <w:p w:rsidR="00711E20" w:rsidRDefault="00711E20" w:rsidP="00711E20">
      <w:pPr>
        <w:spacing w:line="288" w:lineRule="auto"/>
        <w:jc w:val="both"/>
        <w:rPr>
          <w:rFonts w:ascii="Century Gothic" w:hAnsi="Century Gothic" w:cstheme="minorHAnsi"/>
          <w:spacing w:val="20"/>
        </w:rPr>
      </w:pPr>
    </w:p>
    <w:p w:rsidR="00711E20" w:rsidRPr="001B1589" w:rsidRDefault="00711E20" w:rsidP="00711E20">
      <w:pPr>
        <w:spacing w:line="288" w:lineRule="auto"/>
        <w:ind w:left="567"/>
        <w:jc w:val="both"/>
        <w:rPr>
          <w:rFonts w:ascii="Century Gothic" w:hAnsi="Century Gothic"/>
          <w:i/>
          <w:sz w:val="22"/>
          <w:szCs w:val="22"/>
        </w:rPr>
      </w:pPr>
      <w:r w:rsidRPr="001B1589">
        <w:rPr>
          <w:rFonts w:ascii="Century Gothic" w:hAnsi="Century Gothic"/>
          <w:i/>
          <w:spacing w:val="20"/>
          <w:sz w:val="22"/>
          <w:szCs w:val="22"/>
        </w:rPr>
        <w:t xml:space="preserve"> “d) Las emisoras de radiofonía y televisión abierta por los ingresos provenientes de servicios publicitarios. Asimismo, estarán exentas por dichos ingresos y por aquellos percibidos por la prestación del servicio, los sistemas de Radiodifusión por suscripción mediante vínculo físico por cable y los sistemas de Radiodifusión por suscripción mediante vínculo radioeléctrico UHF en áreas rurales entrerrianas, en ambos casos con domicilio fiscal en la provincia de Entre Ríos, que presten servicio en localidades con una población de hasta 60.000 habitantes y que produzcan contenidos propios. </w:t>
      </w:r>
    </w:p>
    <w:p w:rsidR="00711E20" w:rsidRPr="001B1589" w:rsidRDefault="00711E20" w:rsidP="00711E20">
      <w:pPr>
        <w:spacing w:line="288" w:lineRule="auto"/>
        <w:ind w:left="567"/>
        <w:jc w:val="both"/>
        <w:rPr>
          <w:i/>
          <w:spacing w:val="20"/>
          <w:sz w:val="22"/>
          <w:szCs w:val="22"/>
        </w:rPr>
      </w:pPr>
      <w:r w:rsidRPr="001B1589">
        <w:rPr>
          <w:rFonts w:ascii="Century Gothic" w:hAnsi="Century Gothic"/>
          <w:i/>
          <w:spacing w:val="20"/>
          <w:sz w:val="22"/>
          <w:szCs w:val="22"/>
        </w:rPr>
        <w:t>La exención también alcanzara a las prestadoras de servicios de Internet, por los ingresos provenientes de la prestación del servicio en las referidas localidades.</w:t>
      </w:r>
    </w:p>
    <w:p w:rsidR="00711E20" w:rsidRPr="001B1589" w:rsidRDefault="00711E20" w:rsidP="00711E20">
      <w:pPr>
        <w:spacing w:line="288" w:lineRule="auto"/>
        <w:ind w:left="567"/>
        <w:jc w:val="both"/>
        <w:rPr>
          <w:rFonts w:ascii="Century Gothic" w:hAnsi="Century Gothic"/>
          <w:i/>
          <w:sz w:val="22"/>
          <w:szCs w:val="22"/>
        </w:rPr>
      </w:pPr>
      <w:r w:rsidRPr="001B1589">
        <w:rPr>
          <w:rFonts w:ascii="Century Gothic" w:hAnsi="Century Gothic"/>
          <w:i/>
          <w:spacing w:val="20"/>
          <w:sz w:val="22"/>
          <w:szCs w:val="22"/>
        </w:rPr>
        <w:t>No quedarán alcanzados por la exención los siste</w:t>
      </w:r>
      <w:r>
        <w:rPr>
          <w:rFonts w:ascii="Century Gothic" w:hAnsi="Century Gothic"/>
          <w:i/>
          <w:spacing w:val="20"/>
          <w:sz w:val="22"/>
          <w:szCs w:val="22"/>
        </w:rPr>
        <w:t>mas de televisión codificados –</w:t>
      </w:r>
      <w:r w:rsidRPr="001B1589">
        <w:rPr>
          <w:rFonts w:ascii="Century Gothic" w:hAnsi="Century Gothic"/>
          <w:i/>
          <w:spacing w:val="20"/>
          <w:sz w:val="22"/>
          <w:szCs w:val="22"/>
        </w:rPr>
        <w:t>satelitales y de circuitos cerrados</w:t>
      </w:r>
      <w:r>
        <w:rPr>
          <w:rFonts w:ascii="Century Gothic" w:hAnsi="Century Gothic"/>
          <w:i/>
          <w:spacing w:val="20"/>
          <w:sz w:val="22"/>
          <w:szCs w:val="22"/>
        </w:rPr>
        <w:t>–</w:t>
      </w:r>
      <w:r w:rsidRPr="001B1589">
        <w:rPr>
          <w:rFonts w:ascii="Century Gothic" w:hAnsi="Century Gothic"/>
          <w:i/>
          <w:spacing w:val="20"/>
          <w:sz w:val="22"/>
          <w:szCs w:val="22"/>
        </w:rPr>
        <w:t xml:space="preserve"> por los ingresos provenientes de los servicios publicitarios y por los percibidos por la prestación del servicio”</w:t>
      </w:r>
      <w:r>
        <w:rPr>
          <w:rFonts w:ascii="Century Gothic" w:hAnsi="Century Gothic"/>
          <w:i/>
          <w:spacing w:val="20"/>
          <w:sz w:val="22"/>
          <w:szCs w:val="22"/>
        </w:rPr>
        <w:t>.</w:t>
      </w:r>
    </w:p>
    <w:p w:rsidR="00711E20" w:rsidRDefault="00711E20" w:rsidP="00711E20">
      <w:pPr>
        <w:ind w:right="424"/>
        <w:jc w:val="both"/>
      </w:pPr>
      <w:bookmarkStart w:id="1" w:name="_Hlk209888916"/>
      <w:bookmarkEnd w:id="1"/>
    </w:p>
    <w:p w:rsidR="00711E20" w:rsidRDefault="00711E20" w:rsidP="00711E20">
      <w:pPr>
        <w:tabs>
          <w:tab w:val="center" w:pos="567"/>
          <w:tab w:val="center" w:pos="993"/>
          <w:tab w:val="center" w:pos="2268"/>
          <w:tab w:val="right" w:pos="8080"/>
        </w:tabs>
        <w:ind w:right="282"/>
        <w:jc w:val="both"/>
        <w:rPr>
          <w:rFonts w:ascii="Century Gothic" w:hAnsi="Century Gothic"/>
          <w:sz w:val="22"/>
          <w:szCs w:val="22"/>
        </w:rPr>
      </w:pPr>
    </w:p>
    <w:p w:rsidR="00711E20" w:rsidRDefault="00711E20" w:rsidP="00711E20">
      <w:pPr>
        <w:spacing w:line="288" w:lineRule="auto"/>
        <w:rPr>
          <w:spacing w:val="20"/>
        </w:rPr>
      </w:pPr>
      <w:r>
        <w:rPr>
          <w:rFonts w:ascii="Century Gothic" w:hAnsi="Century Gothic" w:cs="Helvetica LT Std"/>
          <w:b/>
          <w:bCs/>
          <w:color w:val="000000"/>
          <w:spacing w:val="20"/>
          <w:sz w:val="22"/>
          <w:szCs w:val="22"/>
        </w:rPr>
        <w:t xml:space="preserve">ARTICULO 2° - </w:t>
      </w:r>
      <w:r>
        <w:rPr>
          <w:rFonts w:ascii="Century Gothic" w:hAnsi="Century Gothic" w:cs="Helvetica LT Std"/>
          <w:bCs/>
          <w:color w:val="000000"/>
          <w:spacing w:val="20"/>
          <w:sz w:val="22"/>
          <w:szCs w:val="22"/>
        </w:rPr>
        <w:t>De forma.</w:t>
      </w:r>
      <w:r>
        <w:rPr>
          <w:rFonts w:ascii="Century Gothic" w:hAnsi="Century Gothic" w:cs="Helvetica LT Std"/>
          <w:bCs/>
          <w:color w:val="000000"/>
          <w:spacing w:val="20"/>
          <w:sz w:val="22"/>
          <w:szCs w:val="22"/>
          <w:lang w:val="es-AR" w:eastAsia="en-US"/>
        </w:rPr>
        <w:t>-</w:t>
      </w:r>
    </w:p>
    <w:p w:rsidR="00711E20" w:rsidRDefault="00711E20" w:rsidP="00711E20">
      <w:pPr>
        <w:tabs>
          <w:tab w:val="center" w:pos="567"/>
          <w:tab w:val="center" w:pos="993"/>
          <w:tab w:val="center" w:pos="2268"/>
          <w:tab w:val="right" w:pos="8080"/>
        </w:tabs>
        <w:ind w:right="282"/>
        <w:jc w:val="both"/>
        <w:rPr>
          <w:rFonts w:ascii="Century Gothic" w:hAnsi="Century Gothic"/>
          <w:sz w:val="22"/>
          <w:szCs w:val="22"/>
        </w:rPr>
      </w:pPr>
    </w:p>
    <w:p w:rsidR="00711E20" w:rsidRPr="00982CB9" w:rsidRDefault="00711E20" w:rsidP="00AF3F07">
      <w:pPr>
        <w:rPr>
          <w:sz w:val="20"/>
          <w:szCs w:val="20"/>
        </w:rPr>
      </w:pPr>
    </w:p>
    <w:sectPr w:rsidR="00711E20" w:rsidRPr="00982CB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LT Std">
    <w:altName w:val="Helvetica LT 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1CA"/>
    <w:rsid w:val="00296DD2"/>
    <w:rsid w:val="00711E20"/>
    <w:rsid w:val="00745099"/>
    <w:rsid w:val="008F01CA"/>
    <w:rsid w:val="00982CB9"/>
    <w:rsid w:val="00AF3F07"/>
    <w:rsid w:val="00B50FB7"/>
    <w:rsid w:val="00FD763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61D0AB-EFB3-4481-A885-9926931B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1CA"/>
    <w:pPr>
      <w:suppressAutoHyphens/>
      <w:spacing w:after="0" w:line="240" w:lineRule="auto"/>
    </w:pPr>
    <w:rPr>
      <w:rFonts w:ascii="Times New Roman" w:eastAsia="Times New Roman" w:hAnsi="Times New Roman" w:cs="Times New Roman"/>
      <w:kern w:val="2"/>
      <w:sz w:val="24"/>
      <w:szCs w:val="24"/>
      <w:lang w:val="es-E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82CB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82CB9"/>
    <w:rPr>
      <w:rFonts w:ascii="Segoe UI" w:eastAsia="Times New Roman" w:hAnsi="Segoe UI" w:cs="Segoe UI"/>
      <w:kern w:val="2"/>
      <w:sz w:val="18"/>
      <w:szCs w:val="18"/>
      <w:lang w:val="es-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487</Words>
  <Characters>2683</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disetica</Company>
  <LinksUpToDate>false</LinksUpToDate>
  <CharactersWithSpaces>3164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Pereyra, Javier Orlando</dc:creator>
  <cp:lastModifiedBy>Senado</cp:lastModifiedBy>
  <cp:revision>2</cp:revision>
  <cp:lastPrinted>2026-10-08T14:39:00Z</cp:lastPrinted>
  <dcterms:created xsi:type="dcterms:W3CDTF">2026-10-08T14:45:00Z</dcterms:created>
  <dcterms:modified xsi:type="dcterms:W3CDTF">2026-10-08T14:45:00Z</dcterms:modified>
</cp:coreProperties>
</file>