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spacing w:before="0" w:after="60" w:line="360" w:lineRule="auto"/>
        <w:jc w:val="center"/>
      </w:pPr>
      <w:r>
        <w:rPr>
          <w:rFonts w:ascii="Arial" w:hAnsi="Arial"/>
          <w:b/>
          <w:i w:val="0"/>
          <w:color w:val="000000"/>
          <w:sz w:val="24"/>
        </w:rPr>
        <w:t>PROYECTO DE LEY</w:t>
      </w:r>
    </w:p>
    <w:p>
      <w:pPr>
        <w:keepNext/>
        <w:spacing w:before="0" w:after="60" w:line="360" w:lineRule="auto"/>
        <w:jc w:val="center"/>
      </w:pPr>
      <w:r>
        <w:rPr>
          <w:rFonts w:ascii="Arial" w:hAnsi="Arial"/>
          <w:b/>
          <w:i w:val="0"/>
          <w:color w:val="000000"/>
          <w:sz w:val="24"/>
        </w:rPr>
        <w:t>"ACEPTACIÓN DE DONACIÓN DE INMUEBLE PARA LA ESCUELA SECUNDARIA N.º 16 ‘JUAN BAUTISTA AZOPARDO’"</w:t>
      </w:r>
    </w:p>
    <w:p>
      <w:pPr>
        <w:keepNext/>
        <w:spacing w:before="0" w:after="160" w:line="360" w:lineRule="auto"/>
        <w:jc w:val="center"/>
      </w:pPr>
      <w:r>
        <w:rPr>
          <w:rFonts w:ascii="Arial" w:hAnsi="Arial"/>
          <w:b w:val="0"/>
          <w:i/>
          <w:color w:val="000000"/>
          <w:sz w:val="22"/>
        </w:rPr>
        <w:t>Autora: Senadora Patricia Teresa Díaz - Departamento La Paz - Bloque Hacer Futuro</w:t>
      </w:r>
    </w:p>
    <w:p>
      <w:pPr>
        <w:keepNext/>
        <w:spacing w:before="0" w:after="0" w:line="360" w:lineRule="auto"/>
        <w:jc w:val="center"/>
      </w:pPr>
      <w:r>
        <w:rPr>
          <w:rFonts w:ascii="Arial" w:hAnsi="Arial"/>
          <w:b/>
          <w:i w:val="0"/>
          <w:color w:val="000000"/>
          <w:sz w:val="24"/>
        </w:rPr>
        <w:t>LA LEGISLATURA DE LA PROVINCIA DE ENTRE RÍOS</w:t>
      </w:r>
    </w:p>
    <w:p>
      <w:pPr>
        <w:keepNext/>
        <w:spacing w:before="0" w:after="180" w:line="360" w:lineRule="auto"/>
        <w:jc w:val="center"/>
      </w:pPr>
      <w:r>
        <w:rPr>
          <w:rFonts w:ascii="Arial" w:hAnsi="Arial"/>
          <w:b/>
          <w:i w:val="0"/>
          <w:color w:val="000000"/>
          <w:sz w:val="24"/>
        </w:rPr>
        <w:t>SANCIONA CON FUERZA DE LEY:</w:t>
      </w:r>
    </w:p>
    <w:p>
      <w:pPr>
        <w:widowControl/>
        <w:spacing w:before="0" w:after="120" w:line="360" w:lineRule="auto"/>
        <w:jc w:val="both"/>
      </w:pPr>
      <w:r>
        <w:rPr>
          <w:rFonts w:ascii="Arial" w:hAnsi="Arial"/>
          <w:b/>
          <w:color w:val="000000"/>
          <w:sz w:val="24"/>
        </w:rPr>
        <w:t>Artículo 1°.-</w:t>
      </w:r>
      <w:r>
        <w:rPr>
          <w:rFonts w:ascii="Arial" w:hAnsi="Arial"/>
          <w:color w:val="000000"/>
          <w:sz w:val="24"/>
        </w:rPr>
        <w:t xml:space="preserve"> Autorízase al Superior Gobierno de la Provincia de Entre Ríos, con afectación al Consejo General de Educación, a aceptar la donación con cargo y bajo condición resolutoria efectuada por la Municipalidad de Santa Elena mediante la Ordenanza N.º 331, sancionada el 25 de julio de 2025, y su modificatoria Ordenanza N.º 338, sancionada el 27 de marzo de 2026, respecto de una parcela de terreno ubicada en la ciudad de Santa Elena, Departamento La Paz, parte de un inmueble de propiedad municipal, identificada como Lotes Nros. 1 y 2 conforme al plano de mensura en trámite N.º 121.620, inscripto en la Matrícula N.º 115.500, Partida Provincial N.º 126.111 y Partida Municipal N.º 3.835, con una superficie total de dos mil quince metros cuadrados con setenta decímetros cuadrados (2.015,70 m²), con destino exclusivo a la construcción del edificio propio de la Escuela Secundaria N.º 16 ‘Juan Bautista Azopardo’.</w:t>
      </w:r>
    </w:p>
    <w:p>
      <w:pPr>
        <w:widowControl/>
        <w:spacing w:before="0" w:after="120" w:line="360" w:lineRule="auto"/>
        <w:jc w:val="both"/>
      </w:pPr>
      <w:r>
        <w:rPr>
          <w:rFonts w:ascii="Arial" w:hAnsi="Arial"/>
          <w:b/>
          <w:color w:val="000000"/>
          <w:sz w:val="24"/>
        </w:rPr>
        <w:t>Artículo 2°.-</w:t>
      </w:r>
      <w:r>
        <w:rPr>
          <w:rFonts w:ascii="Arial" w:hAnsi="Arial"/>
          <w:color w:val="000000"/>
          <w:sz w:val="24"/>
        </w:rPr>
        <w:t xml:space="preserve"> El inmueble referido en el artículo precedente será destinado exclusivamente a la construcción, funcionamiento y desarrollo de las actividades educativas, culturales y pedagógicas de la Escuela Secundaria N.º 16 “Juan Bautista Azopardo”, de la ciudad de Santa Elena. Queda prohibida su transferencia onerosa o gratuita a terceros, mientras subsista el cargo, sin autorización previa y expresa de la Municipalidad de Santa Elena.</w:t>
      </w:r>
    </w:p>
    <w:p>
      <w:pPr>
        <w:widowControl/>
        <w:spacing w:before="0" w:after="120" w:line="360" w:lineRule="auto"/>
        <w:jc w:val="both"/>
      </w:pPr>
      <w:r>
        <w:rPr>
          <w:rFonts w:ascii="Arial" w:hAnsi="Arial"/>
          <w:b/>
          <w:color w:val="000000"/>
          <w:sz w:val="24"/>
        </w:rPr>
        <w:t>Artículo 3°.-</w:t>
      </w:r>
      <w:r>
        <w:rPr>
          <w:rFonts w:ascii="Arial" w:hAnsi="Arial"/>
          <w:color w:val="000000"/>
          <w:sz w:val="24"/>
        </w:rPr>
        <w:t xml:space="preserve"> Establécese como condición resolutoria que el Consejo General de Educación deberá iniciar la obra y acreditar, dentro del plazo de dos (2) años contado desde la firma de la escritura pública traslativa de dominio, un avance físico no inferior al treinta por ciento (30 %) de la construcción del edificio escolar. El cumplimiento deberá acreditarse mediante certificación expedida por la autoridad provincial competente en materia de obras públicas o por acta de constatación suscripta por el área técnica municipal, con respaldo en los planos aprobados.</w:t>
      </w:r>
    </w:p>
    <w:p>
      <w:pPr>
        <w:widowControl/>
        <w:spacing w:before="0" w:after="120" w:line="360" w:lineRule="auto"/>
        <w:jc w:val="both"/>
      </w:pPr>
      <w:r>
        <w:rPr>
          <w:rFonts w:ascii="Arial" w:hAnsi="Arial"/>
          <w:b/>
          <w:color w:val="000000"/>
          <w:sz w:val="24"/>
        </w:rPr>
        <w:t>Artículo 4°.-</w:t>
      </w:r>
      <w:r>
        <w:rPr>
          <w:rFonts w:ascii="Arial" w:hAnsi="Arial"/>
          <w:color w:val="000000"/>
          <w:sz w:val="24"/>
        </w:rPr>
        <w:t xml:space="preserve"> El incumplimiento de la condición prevista en el artículo anterior producirá de pleno derecho la reversión del dominio del inmueble a favor de la Municipalidad de Santa Elena, sin derecho del donatario a reclamar gastos, indemnización o compensación de ningún tipo. El cargo y la condición resolutoria deberán incorporarse expresamente a la escritura pública e inscribirse en el Registro de la Propiedad Inmueble.</w:t>
      </w:r>
    </w:p>
    <w:p>
      <w:pPr>
        <w:widowControl/>
        <w:spacing w:before="0" w:after="120" w:line="360" w:lineRule="auto"/>
        <w:jc w:val="both"/>
      </w:pPr>
      <w:r>
        <w:rPr>
          <w:rFonts w:ascii="Arial" w:hAnsi="Arial"/>
          <w:b/>
          <w:color w:val="000000"/>
          <w:sz w:val="24"/>
        </w:rPr>
        <w:t>Artículo 5°.-</w:t>
      </w:r>
      <w:r>
        <w:rPr>
          <w:rFonts w:ascii="Arial" w:hAnsi="Arial"/>
          <w:color w:val="000000"/>
          <w:sz w:val="24"/>
        </w:rPr>
        <w:t xml:space="preserve"> Facúltase a la Escribanía Mayor de Gobierno a realizar los actos y trámites conducentes para la efectiva transferencia de dominio del inmueble individualizado en el artículo 1.º a favor del Superior Gobierno de la Provincia de Entre Ríos, con afectación al Consejo General de Educación, y a incorporar en el instrumento traslativo las condiciones establecidas en la presente ley y en las Ordenanzas N.º 331 y N.º 338 de la Municipalidad de Santa Elena.</w:t>
      </w:r>
    </w:p>
    <w:p>
      <w:pPr>
        <w:widowControl/>
        <w:spacing w:before="0" w:after="120" w:line="360" w:lineRule="auto"/>
        <w:jc w:val="both"/>
      </w:pPr>
      <w:r>
        <w:rPr>
          <w:rFonts w:ascii="Arial" w:hAnsi="Arial"/>
          <w:b/>
          <w:color w:val="000000"/>
          <w:sz w:val="24"/>
        </w:rPr>
        <w:t>Artículo 6°.-</w:t>
      </w:r>
      <w:r>
        <w:rPr>
          <w:rFonts w:ascii="Arial" w:hAnsi="Arial"/>
          <w:color w:val="000000"/>
          <w:sz w:val="24"/>
        </w:rPr>
        <w:t xml:space="preserve"> Las erogaciones que demande la aprobación del plano de mensura definitivo, la escrituración, los honorarios, impuestos, tasas y demás gastos vinculados con la transferencia e inscripción del dominio serán atendidas por el Consejo General de Educación, de conformidad con la normativa aplicable y las disponibilidades presupuestarias.</w:t>
      </w:r>
    </w:p>
    <w:p>
      <w:pPr>
        <w:widowControl/>
        <w:spacing w:before="0" w:after="120" w:line="360" w:lineRule="auto"/>
        <w:jc w:val="both"/>
      </w:pPr>
      <w:r>
        <w:rPr>
          <w:rFonts w:ascii="Arial" w:hAnsi="Arial"/>
          <w:b/>
          <w:color w:val="000000"/>
          <w:sz w:val="24"/>
        </w:rPr>
        <w:t>Artículo 7°.-</w:t>
      </w:r>
      <w:r>
        <w:rPr>
          <w:rFonts w:ascii="Arial" w:hAnsi="Arial"/>
          <w:color w:val="000000"/>
          <w:sz w:val="24"/>
        </w:rPr>
        <w:t xml:space="preserve"> Comuníquese al Poder Ejecutivo.</w:t>
      </w:r>
    </w:p>
    <w:p>
      <w:pPr>
        <w:widowControl/>
        <w:spacing w:before="0" w:after="120" w:line="360" w:lineRule="auto"/>
        <w:jc w:val="both"/>
      </w:pPr>
      <w:r>
        <w:br w:type="page"/>
      </w:r>
    </w:p>
    <w:p>
      <w:pPr>
        <w:keepNext/>
        <w:spacing w:before="0" w:after="180" w:line="360" w:lineRule="auto"/>
        <w:jc w:val="center"/>
      </w:pPr>
      <w:r>
        <w:rPr>
          <w:rFonts w:ascii="Arial" w:hAnsi="Arial"/>
          <w:b/>
          <w:i w:val="0"/>
          <w:color w:val="000000"/>
          <w:sz w:val="24"/>
        </w:rPr>
        <w:t>FUNDAMENTOS</w:t>
      </w:r>
    </w:p>
    <w:p>
      <w:pPr>
        <w:keepNext w:val="0"/>
        <w:spacing w:before="0" w:after="120" w:line="360" w:lineRule="auto"/>
        <w:jc w:val="left"/>
      </w:pPr>
      <w:r>
        <w:rPr>
          <w:rFonts w:ascii="Arial" w:hAnsi="Arial"/>
          <w:b w:val="0"/>
          <w:i w:val="0"/>
          <w:color w:val="000000"/>
          <w:sz w:val="24"/>
        </w:rPr>
        <w:t>Señora Presidenta:</w:t>
      </w:r>
    </w:p>
    <w:p>
      <w:pPr>
        <w:keepNext w:val="0"/>
        <w:spacing w:before="0" w:after="120" w:line="360" w:lineRule="auto"/>
        <w:jc w:val="both"/>
      </w:pPr>
      <w:r>
        <w:rPr>
          <w:rFonts w:ascii="Arial" w:hAnsi="Arial"/>
          <w:b w:val="0"/>
          <w:i w:val="0"/>
          <w:color w:val="000000"/>
          <w:sz w:val="24"/>
        </w:rPr>
        <w:t>El presente proyecto de ley tiene por objeto autorizar al Superior Gobierno de la Provincia de Entre Ríos a aceptar la donación con cargo y bajo condición resolutoria de un inmueble de propiedad de la Municipalidad de Santa Elena, destinado a la construcción del edificio propio de la Escuela Secundaria N.º 16 “Juan Bautista Azopardo”.</w:t>
      </w:r>
    </w:p>
    <w:p>
      <w:pPr>
        <w:keepNext w:val="0"/>
        <w:spacing w:before="0" w:after="120" w:line="360" w:lineRule="auto"/>
        <w:jc w:val="both"/>
      </w:pPr>
      <w:r>
        <w:rPr>
          <w:rFonts w:ascii="Arial" w:hAnsi="Arial"/>
          <w:b w:val="0"/>
          <w:i w:val="0"/>
          <w:color w:val="000000"/>
          <w:sz w:val="24"/>
        </w:rPr>
        <w:t>La voluntad donativa fue formalizada por la Municipalidad mediante la Ordenanza N.º 331, sancionada el 25 de julio de 2025. Posteriormente, la Ordenanza N.º 338, sancionada el 27 de marzo de 2026, rectificó la superficie y la estableció en 2.015,70 m². La norma identifica la parcela como Lotes Nros. 1 y 2 conforme al plano de mensura en trámite N.º 121.620, inscripto en la Matrícula N.º 115.500, Partida Provincial N.º 126.111 y Partida Municipal N.º 3.835, manteniendo el destino educativo exclusivo.</w:t>
      </w:r>
    </w:p>
    <w:p>
      <w:pPr>
        <w:keepNext w:val="0"/>
        <w:spacing w:before="0" w:after="120" w:line="360" w:lineRule="auto"/>
        <w:jc w:val="both"/>
      </w:pPr>
      <w:r>
        <w:rPr>
          <w:rFonts w:ascii="Arial" w:hAnsi="Arial"/>
          <w:b w:val="0"/>
          <w:i w:val="0"/>
          <w:color w:val="000000"/>
          <w:sz w:val="24"/>
        </w:rPr>
        <w:t>La autorización legislativa resulta necesaria conforme el artículo 81 de la Constitución de la Provincia de Entre Ríos, que exige el voto de las dos terceras partes de los miembros presentes de cada Cámara para la adquisición de bienes raíces por parte de la Provincia. La fórmula empleada también se ajusta al artículo 123 de la Constitución provincial y a las pautas de redacción previstas por el Reglamento de la Honorable Cámara de Senadores.</w:t>
      </w:r>
    </w:p>
    <w:p>
      <w:pPr>
        <w:keepNext w:val="0"/>
        <w:spacing w:before="0" w:after="120" w:line="360" w:lineRule="auto"/>
        <w:jc w:val="both"/>
      </w:pPr>
      <w:r>
        <w:rPr>
          <w:rFonts w:ascii="Arial" w:hAnsi="Arial"/>
          <w:b w:val="0"/>
          <w:i w:val="0"/>
          <w:color w:val="000000"/>
          <w:sz w:val="24"/>
        </w:rPr>
        <w:t>La Escuela Secundaria N.º 16 funciona desde hace años sin edificio propio y comparte espacios con la Escuela Primaria N.º 9. La institución también utiliza dependencias anexas que no reúnen condiciones adecuadas de infraestructura y servicios, circunstancia que obliga a estudiantes y docentes a realizar traslados permanentes y condiciona la organización pedagógica.</w:t>
      </w:r>
    </w:p>
    <w:p>
      <w:pPr>
        <w:keepNext w:val="0"/>
        <w:spacing w:before="0" w:after="120" w:line="360" w:lineRule="auto"/>
        <w:jc w:val="both"/>
      </w:pPr>
      <w:r>
        <w:rPr>
          <w:rFonts w:ascii="Arial" w:hAnsi="Arial"/>
          <w:b w:val="0"/>
          <w:i w:val="0"/>
          <w:color w:val="000000"/>
          <w:sz w:val="24"/>
        </w:rPr>
        <w:t>La matrícula escolar y la demanda educativa se han incrementado junto con el crecimiento de los barrios cercanos. La escuela cumple, además, una función social relevante y constituye la única propuesta secundaria de la ciudad con Orientación en Comunicación, por lo que la construcción de una sede propia permitirá ampliar cursos, mejorar la seguridad y garantizar condiciones dignas para enseñar y aprender.</w:t>
      </w:r>
    </w:p>
    <w:p>
      <w:pPr>
        <w:keepNext w:val="0"/>
        <w:spacing w:before="0" w:after="120" w:line="360" w:lineRule="auto"/>
        <w:jc w:val="both"/>
      </w:pPr>
      <w:r>
        <w:rPr>
          <w:rFonts w:ascii="Arial" w:hAnsi="Arial"/>
          <w:b w:val="0"/>
          <w:i w:val="0"/>
          <w:color w:val="000000"/>
          <w:sz w:val="24"/>
        </w:rPr>
        <w:t>La donación municipal fue dispuesta con un cargo concreto: el inmueble sólo podrá ser utilizado para la construcción y funcionamiento de la Escuela Secundaria N.º 16. Asimismo, se estableció que dentro de los dos años posteriores a la escritura deberá iniciarse la obra y acreditarse un avance físico mínimo del treinta por ciento. La aceptación provincial debe recoger expresamente estas condiciones para preservar la voluntad del donante y asegurar que el inmueble cumpla el fin de utilidad pública que justifica la liberalidad.</w:t>
      </w:r>
    </w:p>
    <w:p>
      <w:pPr>
        <w:keepNext w:val="0"/>
        <w:spacing w:before="0" w:after="120" w:line="360" w:lineRule="auto"/>
        <w:jc w:val="both"/>
      </w:pPr>
      <w:r>
        <w:rPr>
          <w:rFonts w:ascii="Arial" w:hAnsi="Arial"/>
          <w:b w:val="0"/>
          <w:i w:val="0"/>
          <w:color w:val="000000"/>
          <w:sz w:val="24"/>
        </w:rPr>
        <w:t>El proyecto faculta a la Escribanía Mayor de Gobierno a instrumentar la transferencia e inscribir el cargo y la condición resolutoria. De este modo, la Provincia contará con título suficiente para avanzar con el proyecto ejecutivo, la previsión presupuestaria y la construcción del establecimiento, mientras la Municipalidad conservará la garantía de reversión frente a un eventual incumplimiento.</w:t>
      </w:r>
    </w:p>
    <w:p>
      <w:pPr>
        <w:keepNext w:val="0"/>
        <w:spacing w:before="0" w:after="120" w:line="360" w:lineRule="auto"/>
        <w:jc w:val="both"/>
      </w:pPr>
      <w:r>
        <w:rPr>
          <w:rFonts w:ascii="Arial" w:hAnsi="Arial"/>
          <w:b w:val="0"/>
          <w:i w:val="0"/>
          <w:color w:val="000000"/>
          <w:sz w:val="24"/>
        </w:rPr>
        <w:t>La aceptación del inmueble constituye un paso jurídico indispensable para transformar un reclamo histórico de la comunidad educativa en una obra concreta. No se trata solamente de incorporar un bien al patrimonio provincial, sino de asegurar que ese bien quede afectado a una finalidad educativa precisa y verificable.</w:t>
      </w:r>
    </w:p>
    <w:p>
      <w:pPr>
        <w:keepNext w:val="0"/>
        <w:spacing w:before="0" w:after="120" w:line="360" w:lineRule="auto"/>
        <w:jc w:val="both"/>
      </w:pPr>
      <w:r>
        <w:rPr>
          <w:rFonts w:ascii="Arial" w:hAnsi="Arial"/>
          <w:b w:val="0"/>
          <w:i w:val="0"/>
          <w:color w:val="000000"/>
          <w:sz w:val="24"/>
        </w:rPr>
        <w:t>Por las razones expuestas, solicito a mis pares el acompañamiento para la aprobación del presente proyecto de ley.</w:t>
      </w:r>
    </w:p>
    <w:p>
      <w:pPr>
        <w:keepNext w:val="0"/>
        <w:keepLines/>
        <w:spacing w:before="0" w:after="0" w:line="360" w:lineRule="auto"/>
        <w:jc w:val="right"/>
      </w:pPr>
      <w:r>
        <w:rPr>
          <w:rFonts w:ascii="Arial" w:hAnsi="Arial"/>
          <w:b/>
          <w:i w:val="0"/>
          <w:color w:val="000000"/>
          <w:sz w:val="24"/>
        </w:rPr>
        <w:t>Patricia Teresa Díaz</w:t>
      </w:r>
    </w:p>
    <w:p>
      <w:pPr>
        <w:keepNext w:val="0"/>
        <w:spacing w:before="0" w:after="0" w:line="240" w:lineRule="auto"/>
        <w:jc w:val="right"/>
      </w:pPr>
      <w:r>
        <w:rPr>
          <w:rFonts w:ascii="Arial" w:hAnsi="Arial"/>
          <w:b w:val="0"/>
          <w:i w:val="0"/>
          <w:color w:val="000000"/>
          <w:sz w:val="22"/>
        </w:rPr>
        <w:t>Senadora Provincial - Departamento La Paz</w:t>
      </w:r>
    </w:p>
    <w:p>
      <w:pPr>
        <w:keepNext w:val="0"/>
        <w:spacing w:before="0" w:after="0" w:line="240" w:lineRule="auto"/>
        <w:jc w:val="right"/>
      </w:pPr>
      <w:r>
        <w:rPr>
          <w:rFonts w:ascii="Arial" w:hAnsi="Arial"/>
          <w:b/>
          <w:i w:val="0"/>
          <w:color w:val="000000"/>
          <w:sz w:val="22"/>
        </w:rPr>
        <w:t>Bloque Hacer Futuro</w:t>
      </w:r>
    </w:p>
    <w:sectPr w:rsidR="006F03DE" w:rsidSect="00034616">
      <w:headerReference w:type="default" r:id="rId8"/>
      <w:footerReference w:type="default" r:id="rId9"/>
      <w:pgSz w:w="11906" w:h="16838"/>
      <w:pgMar w:top="1814" w:right="1417" w:bottom="1361" w:left="1417" w:header="340" w:footer="3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3DE" w:rsidRDefault="006F03DE" w:rsidP="006F03DE">
      <w:pPr>
        <w:spacing w:after="0" w:line="240" w:lineRule="auto"/>
      </w:pPr>
      <w:r>
        <w:separator/>
      </w:r>
    </w:p>
  </w:endnote>
  <w:endnote w:type="continuationSeparator" w:id="1">
    <w:p w:rsidR="006F03DE" w:rsidRDefault="006F03DE" w:rsidP="006F03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ns2="http://schemas.openxmlformats.org/drawingml/2006/main" xmlns:ns3="http://schemas.openxmlformats.org/drawingml/2006/picture" xmlns:ns4="http://schemas.openxmlformats.org/officeDocument/2006/relationships" xmlns:w="http://schemas.openxmlformats.org/wordprocessingml/2006/main" xmlns:wp="http://schemas.openxmlformats.org/drawingml/2006/wordprocessingDrawing">
  <w:p w:rsidR="006F03DE" w:rsidRDefault="00A40FDA">
    <w:pPr>
      <w:pStyle w:val="Piedepgina"/>
      <w:jc w:val="center"/>
    </w:pPr>
    <w:r>
      <w:rPr>
        <w:noProof/>
        <w:lang w:val="es-ES" w:eastAsia="es-ES"/>
      </w:rPr>
      <w:drawing>
        <wp:inline distT="0" distB="0" distL="0" distR="0">
          <wp:extent cx="5760000" cy="814286"/>
          <wp:effectExtent l="0" t="0" r="0" b="0"/>
          <wp:docPr id="2" name="Picture 1" descr="Sitio web y domicilio institucional del Honorable Senado de Entre Ríos"/>
          <wp:cNvGraphicFramePr>
            <ns2:graphicFrameLocks noChangeAspect="1"/>
          </wp:cNvGraphicFramePr>
          <ns2:graphic>
            <ns2:graphicData uri="http://schemas.openxmlformats.org/drawingml/2006/picture">
              <ns3:pic>
                <ns3:nvPicPr>
                  <ns3:cNvPr id="0" name="image2.png"/>
                  <ns3:cNvPicPr/>
                </ns3:nvPicPr>
                <ns3:blipFill>
                  <ns2:blip ns4:embed="rId1"/>
                  <ns2:stretch>
                    <ns2:fillRect/>
                  </ns2:stretch>
                </ns3:blipFill>
                <ns3:spPr>
                  <ns2:xfrm>
                    <ns2:off x="0" y="0"/>
                    <ns2:ext cx="5760000" cy="814286"/>
                  </ns2:xfrm>
                  <ns2:prstGeom prst="rect">
                    <ns2:avLst/>
                  </ns2:prstGeom>
                </ns3:spPr>
              </ns3:pic>
            </ns2:graphicData>
          </ns2: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3DE" w:rsidRDefault="006F03DE" w:rsidP="006F03DE">
      <w:pPr>
        <w:spacing w:after="0" w:line="240" w:lineRule="auto"/>
      </w:pPr>
      <w:r>
        <w:separator/>
      </w:r>
    </w:p>
  </w:footnote>
  <w:footnote w:type="continuationSeparator" w:id="1">
    <w:p w:rsidR="006F03DE" w:rsidRDefault="006F03DE" w:rsidP="006F03DE">
      <w:pPr>
        <w:spacing w:after="0" w:line="240" w:lineRule="auto"/>
      </w:pPr>
      <w:r>
        <w:continuationSeparator/>
      </w:r>
    </w:p>
  </w:footnote>
</w:footnotes>
</file>

<file path=word/header1.xml><?xml version="1.0" encoding="utf-8"?>
<w:hdr xmlns:ns2="http://schemas.openxmlformats.org/drawingml/2006/main" xmlns:ns3="http://schemas.openxmlformats.org/drawingml/2006/picture" xmlns:ns4="http://schemas.openxmlformats.org/officeDocument/2006/relationships" xmlns:w="http://schemas.openxmlformats.org/wordprocessingml/2006/main" xmlns:wp="http://schemas.openxmlformats.org/drawingml/2006/wordprocessingDrawing">
  <w:p w:rsidR="006F03DE" w:rsidRDefault="00A40FDA">
    <w:pPr>
      <w:pStyle w:val="Encabezado"/>
      <w:jc w:val="center"/>
    </w:pPr>
    <w:r>
      <w:rPr>
        <w:noProof/>
        <w:lang w:val="es-ES" w:eastAsia="es-ES"/>
      </w:rPr>
      <w:drawing>
        <wp:inline distT="0" distB="0" distL="0" distR="0">
          <wp:extent cx="5760000" cy="840000"/>
          <wp:effectExtent l="0" t="0" r="0" b="0"/>
          <wp:docPr id="1" name="Picture 1" descr="Identidad visual del Honorable Senado de Entre Ríos"/>
          <wp:cNvGraphicFramePr>
            <ns2:graphicFrameLocks noChangeAspect="1"/>
          </wp:cNvGraphicFramePr>
          <ns2:graphic>
            <ns2:graphicData uri="http://schemas.openxmlformats.org/drawingml/2006/picture">
              <ns3:pic>
                <ns3:nvPicPr>
                  <ns3:cNvPr id="0" name="image1.png"/>
                  <ns3:cNvPicPr/>
                </ns3:nvPicPr>
                <ns3:blipFill>
                  <ns2:blip ns4:embed="rId1"/>
                  <ns2:stretch>
                    <ns2:fillRect/>
                  </ns2:stretch>
                </ns3:blipFill>
                <ns3:spPr>
                  <ns2:xfrm>
                    <ns2:off x="0" y="0"/>
                    <ns2:ext cx="5760000" cy="840000"/>
                  </ns2:xfrm>
                  <ns2:prstGeom prst="rect">
                    <ns2:avLst/>
                  </ns2:prstGeom>
                </ns3:spPr>
              </ns3:pic>
            </ns2:graphicData>
          </ns2: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B47730"/>
    <w:rsid w:val="00034616"/>
    <w:rsid w:val="0006063C"/>
    <w:rsid w:val="0015074B"/>
    <w:rsid w:val="0029639D"/>
    <w:rsid w:val="00326F90"/>
    <w:rsid w:val="006F03DE"/>
    <w:rsid w:val="00A40FDA"/>
    <w:rsid w:val="00AA1D8D"/>
    <w:rsid w:val="00B47730"/>
    <w:rsid w:val="00CB0664"/>
    <w:rsid w:val="00FC693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360" w:lineRule="auto"/>
    </w:pPr>
    <w:rPr>
      <w:rFonts w:ascii="Arial" w:eastAsia="Times New Roman" w:hAnsi="Arial"/>
      <w:color w:val="000000"/>
      <w:sz w:val="24"/>
    </w:rPr>
  </w:style>
  <w:style w:type="paragraph" w:styleId="Ttulo1">
    <w:name w:val="heading 1"/>
    <w:basedOn w:val="Normal"/>
    <w:next w:val="Normal"/>
    <w:link w:val="Ttulo1Car"/>
    <w:uiPriority w:val="9"/>
    <w:qFormat/>
    <w:rsid w:val="00FC693F"/>
    <w:pPr>
      <w:keepNext/>
      <w:keepLines/>
      <w:spacing w:before="180" w:after="0"/>
      <w:jc w:val="center"/>
      <w:outlineLvl w:val="0"/>
    </w:pPr>
    <w:rPr>
      <w:rFonts w:asciiTheme="majorHAnsi" w:eastAsiaTheme="majorEastAsia" w:hAnsiTheme="majorHAnsi" w:cstheme="majorBidi" w:ascii="Arial" w:hAnsi="Arial"/>
      <w:b/>
      <w:bCs/>
      <w:color w:val="000000"/>
      <w:sz w:val="24"/>
      <w:szCs w:val="28"/>
    </w:rPr>
  </w:style>
  <w:style w:type="paragraph" w:styleId="Ttulo2">
    <w:name w:val="heading 2"/>
    <w:basedOn w:val="Normal"/>
    <w:next w:val="Normal"/>
    <w:link w:val="Ttulo2Car"/>
    <w:uiPriority w:val="9"/>
    <w:unhideWhenUsed/>
    <w:qFormat/>
    <w:rsid w:val="00FC693F"/>
    <w:pPr>
      <w:keepNext/>
      <w:keepLines/>
      <w:spacing w:before="0" w:after="120"/>
      <w:jc w:val="center"/>
      <w:outlineLvl w:val="1"/>
    </w:pPr>
    <w:rPr>
      <w:rFonts w:asciiTheme="majorHAnsi" w:eastAsiaTheme="majorEastAsia" w:hAnsiTheme="majorHAnsi" w:cstheme="majorBidi" w:ascii="Arial" w:hAnsi="Arial"/>
      <w:b/>
      <w:bCs/>
      <w:color w:val="000000"/>
      <w:sz w:val="24"/>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Epgraf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de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deglobo">
    <w:name w:val="Balloon Text"/>
    <w:basedOn w:val="Normal"/>
    <w:link w:val="TextodegloboCar"/>
    <w:uiPriority w:val="99"/>
    <w:semiHidden/>
    <w:unhideWhenUsed/>
    <w:rsid w:val="00A40FD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40FDA"/>
    <w:rPr>
      <w:rFonts w:ascii="Tahoma" w:eastAsia="Times New Roman"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3466</Characters>
  <Application>Microsoft Office Word</Application>
  <DocSecurity>0</DocSecurity>
  <Lines>56</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4055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Ley de Afiliación y Desafiliación Digital</dc:title>
  <dc:subject>Modernización de la Ley N° 5.170 y armonización con la Ley N° 11.190</dc:subject>
  <dc:creator>Patricia Teresa Díaz - Bloque Hacer Futuro</dc:creator>
  <cp:keywords/>
  <dc:description>generated by python-docx</dc:description>
  <cp:lastModifiedBy>Guillermo</cp:lastModifiedBy>
  <cp:revision>2</cp:revision>
  <dcterms:created xsi:type="dcterms:W3CDTF">2026-07-08T14:53:00Z</dcterms:created>
  <dcterms:modified xsi:type="dcterms:W3CDTF">2026-07-08T14:53:00Z</dcterms:modified>
  <cp:category/>
</cp:coreProperties>
</file>