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4F5D6" w14:textId="77777777" w:rsidR="007E5F2C" w:rsidRPr="00287432" w:rsidRDefault="007E5F2C" w:rsidP="00287432">
      <w:pPr>
        <w:rPr>
          <w:sz w:val="24"/>
          <w:szCs w:val="24"/>
        </w:rPr>
      </w:pPr>
    </w:p>
    <w:p w14:paraId="1B52CE88" w14:textId="7294BAEE" w:rsidR="00F9441D" w:rsidRPr="007E5F2C" w:rsidRDefault="00BA6578" w:rsidP="00F9441D">
      <w:pPr>
        <w:jc w:val="both"/>
        <w:rPr>
          <w:rFonts w:ascii="Bookman Old Style" w:hAnsi="Bookman Old Style" w:cs="Times New Roman"/>
          <w:b/>
          <w:bCs/>
          <w:sz w:val="28"/>
          <w:szCs w:val="28"/>
        </w:rPr>
      </w:pPr>
      <w:r w:rsidRPr="007E5F2C">
        <w:rPr>
          <w:rFonts w:ascii="Bookman Old Style" w:hAnsi="Bookman Old Style" w:cs="Times New Roman"/>
          <w:b/>
          <w:bCs/>
          <w:sz w:val="28"/>
          <w:szCs w:val="28"/>
        </w:rPr>
        <w:t>FUNDAMENTOS</w:t>
      </w:r>
    </w:p>
    <w:p w14:paraId="557C887F" w14:textId="7BBCF4B5" w:rsidR="00240786" w:rsidRPr="007E5F2C" w:rsidRDefault="00240786" w:rsidP="00240786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>El día 16 de septiembre de 2026 se llevará a cabo la conmemoración del cincuentenario del Puente Internacional General San Martín, inaugurado el 16 de septiembre de 1976, en la cabecera sur de</w:t>
      </w:r>
      <w:r w:rsidR="00DE7A52" w:rsidRPr="007E5F2C">
        <w:rPr>
          <w:rFonts w:ascii="Bookman Old Style" w:hAnsi="Bookman Old Style" w:cs="Times New Roman"/>
          <w:bCs/>
          <w:sz w:val="28"/>
          <w:szCs w:val="28"/>
        </w:rPr>
        <w:t xml:space="preserve"> dicho </w:t>
      </w:r>
      <w:r w:rsidRPr="007E5F2C">
        <w:rPr>
          <w:rFonts w:ascii="Bookman Old Style" w:hAnsi="Bookman Old Style" w:cs="Times New Roman"/>
          <w:bCs/>
          <w:sz w:val="28"/>
          <w:szCs w:val="28"/>
        </w:rPr>
        <w:t>Puente.</w:t>
      </w:r>
    </w:p>
    <w:p w14:paraId="3CC75401" w14:textId="77777777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Un 16 de setiembre de 1976 se inauguraba el puente Libertador General San Martín que une la localidad de Puerto </w:t>
      </w:r>
      <w:proofErr w:type="spellStart"/>
      <w:r w:rsidRPr="007E5F2C">
        <w:rPr>
          <w:rFonts w:ascii="Bookman Old Style" w:hAnsi="Bookman Old Style" w:cs="Times New Roman"/>
          <w:bCs/>
          <w:sz w:val="28"/>
          <w:szCs w:val="28"/>
        </w:rPr>
        <w:t>Unzué</w:t>
      </w:r>
      <w:proofErr w:type="spellEnd"/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 del departamento de Gualeguaychú (Argentina), con la ciudad de Fray Bentos, capital del departamento de Río Negro (Uruguay).</w:t>
      </w:r>
    </w:p>
    <w:p w14:paraId="69F694B3" w14:textId="32B38895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Hace 50 años atrás la obra vial internacional Puerto </w:t>
      </w:r>
      <w:proofErr w:type="spellStart"/>
      <w:r w:rsidRPr="007E5F2C">
        <w:rPr>
          <w:rFonts w:ascii="Bookman Old Style" w:hAnsi="Bookman Old Style" w:cs="Times New Roman"/>
          <w:bCs/>
          <w:sz w:val="28"/>
          <w:szCs w:val="28"/>
        </w:rPr>
        <w:t>Unzué</w:t>
      </w:r>
      <w:proofErr w:type="spellEnd"/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 – Fray Bentos fue inaugurada oficialmente con el nombre de puente Libertador General San Martín. El puente quedó habilitado al uso público y, a partir del día siguiente, comenzó a operar bajo el régimen de peaje, de acuerdo con lo establecido en el artículo 12 del Convenio celebrado oportunamente para su construcción.</w:t>
      </w:r>
    </w:p>
    <w:p w14:paraId="08706A22" w14:textId="25DF05BB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>El proyecto se inició en noviembre de 1960 con la creación de la Comisión Técnica Mixta del Puente entre la Argentina y el Uruguay (COMPAU) para la realización de los estudios técnicos necesarios a fin de elaborar un proyecto de obra vial a través del Río Uruguay y fijar su zona de emplazamiento.</w:t>
      </w:r>
    </w:p>
    <w:p w14:paraId="46D22C24" w14:textId="237A0C30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Los estudios preliminares realizados para establecer la zona más favorable para la ubicación del puente, determinaron como la más conveniente la de Puerto </w:t>
      </w:r>
      <w:proofErr w:type="spellStart"/>
      <w:r w:rsidRPr="007E5F2C">
        <w:rPr>
          <w:rFonts w:ascii="Bookman Old Style" w:hAnsi="Bookman Old Style" w:cs="Times New Roman"/>
          <w:bCs/>
          <w:sz w:val="28"/>
          <w:szCs w:val="28"/>
        </w:rPr>
        <w:t>Unzué</w:t>
      </w:r>
      <w:proofErr w:type="spellEnd"/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 en la República Argentina y Fray Bentos en la República Oriental del Uruguay. Para ello, el 30 de mayo de 1967 se firmó en Buenos Aires y se ratificó en la ciudad de Montevideo el 17 de octubre de 1967, el Convenio para construir el puente internacional sobre el Río Uruguay. </w:t>
      </w:r>
    </w:p>
    <w:p w14:paraId="3D577422" w14:textId="53916D66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El artículo 12 del convenio establecía que el puente sería de propiedad común e indivisible en toda la extensión de su obra de arte y </w:t>
      </w:r>
      <w:proofErr w:type="gramStart"/>
      <w:r w:rsidRPr="007E5F2C">
        <w:rPr>
          <w:rFonts w:ascii="Bookman Old Style" w:hAnsi="Bookman Old Style" w:cs="Times New Roman"/>
          <w:bCs/>
          <w:sz w:val="28"/>
          <w:szCs w:val="28"/>
        </w:rPr>
        <w:t>atendido y explotado</w:t>
      </w:r>
      <w:proofErr w:type="gramEnd"/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 en igualdad de derechos y obligaciones mediante el régimen de peaje.</w:t>
      </w:r>
    </w:p>
    <w:p w14:paraId="45E80AC2" w14:textId="77777777" w:rsidR="007E5F2C" w:rsidRDefault="007E5F2C" w:rsidP="007E5F2C">
      <w:pPr>
        <w:jc w:val="both"/>
        <w:rPr>
          <w:rFonts w:ascii="Bookman Old Style" w:hAnsi="Bookman Old Style" w:cs="Times New Roman"/>
          <w:bCs/>
          <w:sz w:val="28"/>
          <w:szCs w:val="28"/>
        </w:rPr>
      </w:pPr>
    </w:p>
    <w:p w14:paraId="540E157A" w14:textId="77777777" w:rsidR="007E5F2C" w:rsidRDefault="007E5F2C" w:rsidP="007E5F2C">
      <w:pPr>
        <w:jc w:val="both"/>
        <w:rPr>
          <w:rFonts w:ascii="Bookman Old Style" w:hAnsi="Bookman Old Style" w:cs="Times New Roman"/>
          <w:bCs/>
          <w:sz w:val="28"/>
          <w:szCs w:val="28"/>
        </w:rPr>
      </w:pPr>
    </w:p>
    <w:p w14:paraId="3B5ACC60" w14:textId="77777777" w:rsidR="007E5F2C" w:rsidRPr="007E5F2C" w:rsidRDefault="007E5F2C" w:rsidP="007E5F2C">
      <w:pPr>
        <w:jc w:val="both"/>
        <w:rPr>
          <w:rFonts w:ascii="Bookman Old Style" w:hAnsi="Bookman Old Style" w:cs="Times New Roman"/>
          <w:bCs/>
          <w:sz w:val="28"/>
          <w:szCs w:val="28"/>
        </w:rPr>
      </w:pPr>
    </w:p>
    <w:p w14:paraId="5FD632DA" w14:textId="0D1EB18F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>CARACTERÍSTICAS DE LA OBRA</w:t>
      </w:r>
    </w:p>
    <w:p w14:paraId="3769BFF8" w14:textId="77777777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>Su financiación provino en parte a través de préstamos otorgados por el Banco Interamericano de Desarrollo (BID) concedidos a la República Argentina y a la República Oriental del Uruguay, con el compromiso de aportar cada Parte los recursos complementarios de los préstamos en la medida de lo necesario para dar término a las obras previstas.</w:t>
      </w:r>
    </w:p>
    <w:p w14:paraId="6EF660B6" w14:textId="77777777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Su longitud total del </w:t>
      </w:r>
      <w:proofErr w:type="spellStart"/>
      <w:r w:rsidRPr="007E5F2C">
        <w:rPr>
          <w:rFonts w:ascii="Bookman Old Style" w:hAnsi="Bookman Old Style" w:cs="Times New Roman"/>
          <w:bCs/>
          <w:sz w:val="28"/>
          <w:szCs w:val="28"/>
        </w:rPr>
        <w:t>pueste</w:t>
      </w:r>
      <w:proofErr w:type="spellEnd"/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 es de 5.966 metros, siendo 4.220 </w:t>
      </w:r>
      <w:proofErr w:type="spellStart"/>
      <w:r w:rsidRPr="007E5F2C">
        <w:rPr>
          <w:rFonts w:ascii="Bookman Old Style" w:hAnsi="Bookman Old Style" w:cs="Times New Roman"/>
          <w:bCs/>
          <w:sz w:val="28"/>
          <w:szCs w:val="28"/>
        </w:rPr>
        <w:t>mts</w:t>
      </w:r>
      <w:proofErr w:type="spellEnd"/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. </w:t>
      </w:r>
      <w:proofErr w:type="gramStart"/>
      <w:r w:rsidRPr="007E5F2C">
        <w:rPr>
          <w:rFonts w:ascii="Bookman Old Style" w:hAnsi="Bookman Old Style" w:cs="Times New Roman"/>
          <w:bCs/>
          <w:sz w:val="28"/>
          <w:szCs w:val="28"/>
        </w:rPr>
        <w:t>de</w:t>
      </w:r>
      <w:proofErr w:type="gramEnd"/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 jurisdicción argentina y 1.146 </w:t>
      </w:r>
      <w:proofErr w:type="spellStart"/>
      <w:r w:rsidRPr="007E5F2C">
        <w:rPr>
          <w:rFonts w:ascii="Bookman Old Style" w:hAnsi="Bookman Old Style" w:cs="Times New Roman"/>
          <w:bCs/>
          <w:sz w:val="28"/>
          <w:szCs w:val="28"/>
        </w:rPr>
        <w:t>mts</w:t>
      </w:r>
      <w:proofErr w:type="spellEnd"/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. </w:t>
      </w:r>
      <w:proofErr w:type="gramStart"/>
      <w:r w:rsidRPr="007E5F2C">
        <w:rPr>
          <w:rFonts w:ascii="Bookman Old Style" w:hAnsi="Bookman Old Style" w:cs="Times New Roman"/>
          <w:bCs/>
          <w:sz w:val="28"/>
          <w:szCs w:val="28"/>
        </w:rPr>
        <w:t>de</w:t>
      </w:r>
      <w:proofErr w:type="gramEnd"/>
      <w:r w:rsidRPr="007E5F2C">
        <w:rPr>
          <w:rFonts w:ascii="Bookman Old Style" w:hAnsi="Bookman Old Style" w:cs="Times New Roman"/>
          <w:bCs/>
          <w:sz w:val="28"/>
          <w:szCs w:val="28"/>
        </w:rPr>
        <w:t xml:space="preserve"> jurisdicción uruguaya.</w:t>
      </w:r>
    </w:p>
    <w:p w14:paraId="67616640" w14:textId="7CE91B3A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>Su estructura es de hormigón armado pretensado, apoyada sobre pilas fundadas en cajones y pilotes de gran diámetro.</w:t>
      </w:r>
    </w:p>
    <w:p w14:paraId="57702AA8" w14:textId="6B7EC39B" w:rsidR="00DE7A52" w:rsidRPr="007E5F2C" w:rsidRDefault="00240786" w:rsidP="000930D3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  <w:r w:rsidRPr="007E5F2C">
        <w:rPr>
          <w:rFonts w:ascii="Bookman Old Style" w:hAnsi="Bookman Old Style" w:cs="Times New Roman"/>
          <w:bCs/>
          <w:sz w:val="28"/>
          <w:szCs w:val="28"/>
        </w:rPr>
        <w:t>Cabe destacar el valor del Puente Internacional General San Martín como infraestructura estratégica de integración, concebida con el objetivo de fortal</w:t>
      </w:r>
      <w:r w:rsidR="000930D3" w:rsidRPr="007E5F2C">
        <w:rPr>
          <w:rFonts w:ascii="Bookman Old Style" w:hAnsi="Bookman Old Style" w:cs="Times New Roman"/>
          <w:bCs/>
          <w:sz w:val="28"/>
          <w:szCs w:val="28"/>
        </w:rPr>
        <w:t xml:space="preserve">ecer la vinculación entre ambas </w:t>
      </w:r>
      <w:r w:rsidR="00DE7A52" w:rsidRPr="007E5F2C">
        <w:rPr>
          <w:rFonts w:ascii="Bookman Old Style" w:hAnsi="Bookman Old Style" w:cs="Times New Roman"/>
          <w:bCs/>
          <w:sz w:val="28"/>
          <w:szCs w:val="28"/>
        </w:rPr>
        <w:t>comunidades, así como su carácter simbólico en la construcción históric</w:t>
      </w:r>
      <w:r w:rsidR="000930D3" w:rsidRPr="007E5F2C">
        <w:rPr>
          <w:rFonts w:ascii="Bookman Old Style" w:hAnsi="Bookman Old Style" w:cs="Times New Roman"/>
          <w:bCs/>
          <w:sz w:val="28"/>
          <w:szCs w:val="28"/>
        </w:rPr>
        <w:t>a de la cooperación binacional</w:t>
      </w:r>
      <w:r w:rsidR="00DE7A52" w:rsidRPr="007E5F2C">
        <w:rPr>
          <w:rFonts w:ascii="Bookman Old Style" w:hAnsi="Bookman Old Style" w:cs="Times New Roman"/>
          <w:bCs/>
          <w:sz w:val="28"/>
          <w:szCs w:val="28"/>
        </w:rPr>
        <w:t>, y, en consecuencia, solicito el acompañamiento de los Sres. Senadores.</w:t>
      </w:r>
    </w:p>
    <w:p w14:paraId="052140C8" w14:textId="77777777" w:rsidR="00DE7A52" w:rsidRPr="007E5F2C" w:rsidRDefault="00DE7A52" w:rsidP="00DE7A52">
      <w:pPr>
        <w:ind w:firstLine="708"/>
        <w:jc w:val="both"/>
        <w:rPr>
          <w:rFonts w:ascii="Bookman Old Style" w:hAnsi="Bookman Old Style" w:cs="Times New Roman"/>
          <w:bCs/>
          <w:sz w:val="28"/>
          <w:szCs w:val="28"/>
        </w:rPr>
      </w:pPr>
    </w:p>
    <w:p w14:paraId="3D1B7B7D" w14:textId="67BEF2A6" w:rsidR="00DE7A52" w:rsidRPr="007E5F2C" w:rsidRDefault="00DE7A52">
      <w:pPr>
        <w:rPr>
          <w:rFonts w:ascii="Bookman Old Style" w:hAnsi="Bookman Old Style"/>
          <w:sz w:val="28"/>
          <w:szCs w:val="28"/>
        </w:rPr>
      </w:pPr>
      <w:r w:rsidRPr="007E5F2C">
        <w:rPr>
          <w:rFonts w:ascii="Bookman Old Style" w:hAnsi="Bookman Old Style"/>
          <w:sz w:val="28"/>
          <w:szCs w:val="28"/>
        </w:rPr>
        <w:br w:type="page"/>
      </w:r>
    </w:p>
    <w:p w14:paraId="236FBAC6" w14:textId="77777777" w:rsidR="007B1CFB" w:rsidRPr="00287432" w:rsidRDefault="007B1CFB">
      <w:pPr>
        <w:rPr>
          <w:sz w:val="24"/>
          <w:szCs w:val="24"/>
        </w:rPr>
      </w:pPr>
    </w:p>
    <w:p w14:paraId="020D44B0" w14:textId="77777777" w:rsidR="007B1CFB" w:rsidRPr="007E5F2C" w:rsidRDefault="007B1CFB" w:rsidP="007B1CFB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7E5F2C">
        <w:rPr>
          <w:rFonts w:ascii="Bookman Old Style" w:hAnsi="Bookman Old Style" w:cs="Times New Roman"/>
          <w:b/>
          <w:bCs/>
          <w:sz w:val="28"/>
          <w:szCs w:val="28"/>
        </w:rPr>
        <w:t>LA HONORABLE CÁMARA DE SENADORES</w:t>
      </w:r>
    </w:p>
    <w:p w14:paraId="5210D74C" w14:textId="77777777" w:rsidR="007B1CFB" w:rsidRPr="007E5F2C" w:rsidRDefault="007B1CFB" w:rsidP="007B1CFB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7E5F2C">
        <w:rPr>
          <w:rFonts w:ascii="Bookman Old Style" w:hAnsi="Bookman Old Style" w:cs="Times New Roman"/>
          <w:b/>
          <w:bCs/>
          <w:sz w:val="28"/>
          <w:szCs w:val="28"/>
        </w:rPr>
        <w:t>DE LA PROVINCIA DE ENTRE RÍOS</w:t>
      </w:r>
    </w:p>
    <w:p w14:paraId="6B2063C3" w14:textId="43E09C57" w:rsidR="007B1CFB" w:rsidRPr="007E5F2C" w:rsidRDefault="007B1CFB" w:rsidP="007B1CFB">
      <w:pPr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7E5F2C">
        <w:rPr>
          <w:rFonts w:ascii="Bookman Old Style" w:hAnsi="Bookman Old Style" w:cs="Times New Roman"/>
          <w:b/>
          <w:bCs/>
          <w:sz w:val="28"/>
          <w:szCs w:val="28"/>
        </w:rPr>
        <w:t>D E C L A R A</w:t>
      </w:r>
      <w:r w:rsidR="007E5F2C" w:rsidRPr="007E5F2C">
        <w:rPr>
          <w:rFonts w:ascii="Bookman Old Style" w:hAnsi="Bookman Old Style" w:cs="Times New Roman"/>
          <w:b/>
          <w:bCs/>
          <w:sz w:val="28"/>
          <w:szCs w:val="28"/>
        </w:rPr>
        <w:t>:</w:t>
      </w:r>
    </w:p>
    <w:p w14:paraId="54A028EC" w14:textId="77777777" w:rsidR="007B1CFB" w:rsidRPr="007E5F2C" w:rsidRDefault="007B1CFB" w:rsidP="007B1CFB">
      <w:pPr>
        <w:jc w:val="both"/>
        <w:rPr>
          <w:rFonts w:ascii="Bookman Old Style" w:hAnsi="Bookman Old Style" w:cs="Times New Roman"/>
          <w:sz w:val="28"/>
          <w:szCs w:val="28"/>
        </w:rPr>
      </w:pPr>
    </w:p>
    <w:p w14:paraId="3EFAFD6A" w14:textId="77777777" w:rsidR="007E5F2C" w:rsidRDefault="007E5F2C" w:rsidP="008D2FA0">
      <w:pPr>
        <w:jc w:val="both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05932244" w14:textId="61A72B62" w:rsidR="00240786" w:rsidRPr="007E5F2C" w:rsidRDefault="00FE17AC" w:rsidP="008D2FA0">
      <w:pPr>
        <w:jc w:val="both"/>
        <w:rPr>
          <w:rFonts w:ascii="Bookman Old Style" w:hAnsi="Bookman Old Style" w:cs="Times New Roman"/>
          <w:sz w:val="32"/>
          <w:szCs w:val="32"/>
        </w:rPr>
      </w:pPr>
      <w:bookmarkStart w:id="0" w:name="_GoBack"/>
      <w:bookmarkEnd w:id="0"/>
      <w:r w:rsidRPr="007E5F2C">
        <w:rPr>
          <w:rFonts w:ascii="Bookman Old Style" w:hAnsi="Bookman Old Style" w:cs="Times New Roman"/>
          <w:b/>
          <w:bCs/>
          <w:sz w:val="32"/>
          <w:szCs w:val="32"/>
        </w:rPr>
        <w:t>PRIMERO:</w:t>
      </w:r>
      <w:r w:rsidRPr="007E5F2C">
        <w:rPr>
          <w:rFonts w:ascii="Bookman Old Style" w:hAnsi="Bookman Old Style" w:cs="Times New Roman"/>
          <w:sz w:val="32"/>
          <w:szCs w:val="32"/>
        </w:rPr>
        <w:t xml:space="preserve"> De</w:t>
      </w:r>
      <w:r w:rsidR="008D2FA0" w:rsidRPr="007E5F2C">
        <w:rPr>
          <w:rFonts w:ascii="Bookman Old Style" w:hAnsi="Bookman Old Style" w:cs="Times New Roman"/>
          <w:sz w:val="32"/>
          <w:szCs w:val="32"/>
        </w:rPr>
        <w:t>clarar de i</w:t>
      </w:r>
      <w:r w:rsidRPr="007E5F2C">
        <w:rPr>
          <w:rFonts w:ascii="Bookman Old Style" w:hAnsi="Bookman Old Style" w:cs="Times New Roman"/>
          <w:sz w:val="32"/>
          <w:szCs w:val="32"/>
        </w:rPr>
        <w:t xml:space="preserve">nterés </w:t>
      </w:r>
      <w:r w:rsidR="00F35C98" w:rsidRPr="007E5F2C">
        <w:rPr>
          <w:rFonts w:ascii="Bookman Old Style" w:hAnsi="Bookman Old Style" w:cs="Times New Roman"/>
          <w:sz w:val="32"/>
          <w:szCs w:val="32"/>
        </w:rPr>
        <w:t xml:space="preserve">legislativo </w:t>
      </w:r>
      <w:r w:rsidR="00184005" w:rsidRPr="007E5F2C">
        <w:rPr>
          <w:rFonts w:ascii="Bookman Old Style" w:hAnsi="Bookman Old Style" w:cs="Times New Roman"/>
          <w:sz w:val="32"/>
          <w:szCs w:val="32"/>
        </w:rPr>
        <w:t xml:space="preserve">la </w:t>
      </w:r>
      <w:r w:rsidR="00240786" w:rsidRPr="007E5F2C">
        <w:rPr>
          <w:rFonts w:ascii="Bookman Old Style" w:hAnsi="Bookman Old Style" w:cs="Times New Roman"/>
          <w:sz w:val="32"/>
          <w:szCs w:val="32"/>
        </w:rPr>
        <w:t xml:space="preserve">conmemoración del cincuentenario del Puente Internacional General San Martín, inaugurado el 16 de septiembre de 1976, </w:t>
      </w:r>
      <w:r w:rsidR="00184005" w:rsidRPr="007E5F2C">
        <w:rPr>
          <w:rFonts w:ascii="Bookman Old Style" w:hAnsi="Bookman Old Style" w:cs="Times New Roman"/>
          <w:sz w:val="32"/>
          <w:szCs w:val="32"/>
        </w:rPr>
        <w:t xml:space="preserve">que se llevará a cabo el 16 de septiembre de 2026 </w:t>
      </w:r>
      <w:r w:rsidR="00240786" w:rsidRPr="007E5F2C">
        <w:rPr>
          <w:rFonts w:ascii="Bookman Old Style" w:hAnsi="Bookman Old Style" w:cs="Times New Roman"/>
          <w:sz w:val="32"/>
          <w:szCs w:val="32"/>
        </w:rPr>
        <w:t>en la cabecera sur de dicho Puente.</w:t>
      </w:r>
    </w:p>
    <w:p w14:paraId="12CE6FAD" w14:textId="77777777" w:rsidR="00184005" w:rsidRPr="007E5F2C" w:rsidRDefault="00FE17AC" w:rsidP="00184005">
      <w:pPr>
        <w:jc w:val="both"/>
        <w:rPr>
          <w:rFonts w:ascii="Bookman Old Style" w:hAnsi="Bookman Old Style" w:cs="Times New Roman"/>
          <w:sz w:val="32"/>
          <w:szCs w:val="32"/>
        </w:rPr>
      </w:pPr>
      <w:r w:rsidRPr="007E5F2C">
        <w:rPr>
          <w:rFonts w:ascii="Bookman Old Style" w:hAnsi="Bookman Old Style" w:cs="Times New Roman"/>
          <w:b/>
          <w:bCs/>
          <w:sz w:val="32"/>
          <w:szCs w:val="32"/>
        </w:rPr>
        <w:t>SEGUNDO:</w:t>
      </w:r>
      <w:r w:rsidRPr="007E5F2C">
        <w:rPr>
          <w:rFonts w:ascii="Bookman Old Style" w:hAnsi="Bookman Old Style" w:cs="Times New Roman"/>
          <w:sz w:val="32"/>
          <w:szCs w:val="32"/>
        </w:rPr>
        <w:t xml:space="preserve"> Comuníq</w:t>
      </w:r>
      <w:r w:rsidR="00FA7A07" w:rsidRPr="007E5F2C">
        <w:rPr>
          <w:rFonts w:ascii="Bookman Old Style" w:hAnsi="Bookman Old Style" w:cs="Times New Roman"/>
          <w:sz w:val="32"/>
          <w:szCs w:val="32"/>
        </w:rPr>
        <w:t>uese a</w:t>
      </w:r>
      <w:r w:rsidR="00240786" w:rsidRPr="007E5F2C">
        <w:rPr>
          <w:rFonts w:ascii="Bookman Old Style" w:hAnsi="Bookman Old Style" w:cs="Times New Roman"/>
          <w:sz w:val="32"/>
          <w:szCs w:val="32"/>
        </w:rPr>
        <w:t xml:space="preserve"> </w:t>
      </w:r>
      <w:r w:rsidR="008D2FA0" w:rsidRPr="007E5F2C">
        <w:rPr>
          <w:rFonts w:ascii="Bookman Old Style" w:hAnsi="Bookman Old Style" w:cs="Times New Roman"/>
          <w:sz w:val="32"/>
          <w:szCs w:val="32"/>
        </w:rPr>
        <w:t>l</w:t>
      </w:r>
      <w:r w:rsidR="00240786" w:rsidRPr="007E5F2C">
        <w:rPr>
          <w:rFonts w:ascii="Bookman Old Style" w:hAnsi="Bookman Old Style" w:cs="Times New Roman"/>
          <w:sz w:val="32"/>
          <w:szCs w:val="32"/>
        </w:rPr>
        <w:t>a</w:t>
      </w:r>
      <w:r w:rsidR="00DD014C" w:rsidRPr="007E5F2C">
        <w:rPr>
          <w:rFonts w:ascii="Bookman Old Style" w:hAnsi="Bookman Old Style" w:cs="Times New Roman"/>
          <w:sz w:val="32"/>
          <w:szCs w:val="32"/>
        </w:rPr>
        <w:t xml:space="preserve"> Sr</w:t>
      </w:r>
      <w:r w:rsidR="00240786" w:rsidRPr="007E5F2C">
        <w:rPr>
          <w:rFonts w:ascii="Bookman Old Style" w:hAnsi="Bookman Old Style" w:cs="Times New Roman"/>
          <w:sz w:val="32"/>
          <w:szCs w:val="32"/>
        </w:rPr>
        <w:t>a</w:t>
      </w:r>
      <w:r w:rsidR="003325A7" w:rsidRPr="007E5F2C">
        <w:rPr>
          <w:rFonts w:ascii="Bookman Old Style" w:hAnsi="Bookman Old Style" w:cs="Times New Roman"/>
          <w:sz w:val="32"/>
          <w:szCs w:val="32"/>
        </w:rPr>
        <w:t xml:space="preserve">. </w:t>
      </w:r>
      <w:r w:rsidR="008D2FA0" w:rsidRPr="007E5F2C">
        <w:rPr>
          <w:rFonts w:ascii="Bookman Old Style" w:hAnsi="Bookman Old Style" w:cs="Times New Roman"/>
          <w:sz w:val="32"/>
          <w:szCs w:val="32"/>
        </w:rPr>
        <w:t xml:space="preserve">Presidente </w:t>
      </w:r>
      <w:r w:rsidR="00240786" w:rsidRPr="007E5F2C">
        <w:rPr>
          <w:rFonts w:ascii="Bookman Old Style" w:hAnsi="Bookman Old Style" w:cs="Times New Roman"/>
          <w:sz w:val="32"/>
          <w:szCs w:val="32"/>
        </w:rPr>
        <w:t>de la Comisión Administradora del Río Uruguay CARU D</w:t>
      </w:r>
      <w:r w:rsidR="00184005" w:rsidRPr="007E5F2C">
        <w:rPr>
          <w:rFonts w:ascii="Bookman Old Style" w:hAnsi="Bookman Old Style" w:cs="Times New Roman"/>
          <w:sz w:val="32"/>
          <w:szCs w:val="32"/>
        </w:rPr>
        <w:t xml:space="preserve">ra. María Cecilia </w:t>
      </w:r>
      <w:proofErr w:type="spellStart"/>
      <w:r w:rsidR="00184005" w:rsidRPr="007E5F2C">
        <w:rPr>
          <w:rFonts w:ascii="Bookman Old Style" w:hAnsi="Bookman Old Style" w:cs="Times New Roman"/>
          <w:sz w:val="32"/>
          <w:szCs w:val="32"/>
        </w:rPr>
        <w:t>Bottino</w:t>
      </w:r>
      <w:proofErr w:type="spellEnd"/>
      <w:r w:rsidR="00184005" w:rsidRPr="007E5F2C">
        <w:rPr>
          <w:rFonts w:ascii="Bookman Old Style" w:hAnsi="Bookman Old Style" w:cs="Times New Roman"/>
          <w:sz w:val="32"/>
          <w:szCs w:val="32"/>
        </w:rPr>
        <w:t xml:space="preserve"> </w:t>
      </w:r>
      <w:proofErr w:type="spellStart"/>
      <w:r w:rsidR="00184005" w:rsidRPr="007E5F2C">
        <w:rPr>
          <w:rFonts w:ascii="Bookman Old Style" w:hAnsi="Bookman Old Style" w:cs="Times New Roman"/>
          <w:sz w:val="32"/>
          <w:szCs w:val="32"/>
        </w:rPr>
        <w:t>Fiuri</w:t>
      </w:r>
      <w:proofErr w:type="spellEnd"/>
      <w:r w:rsidR="00184005" w:rsidRPr="007E5F2C">
        <w:rPr>
          <w:rFonts w:ascii="Bookman Old Style" w:hAnsi="Bookman Old Style" w:cs="Times New Roman"/>
          <w:sz w:val="32"/>
          <w:szCs w:val="32"/>
        </w:rPr>
        <w:t xml:space="preserve"> y a la Dirección de Prensa y Comunicación de la Provincia, para su conveniente difusión. </w:t>
      </w:r>
    </w:p>
    <w:p w14:paraId="44959CD7" w14:textId="15C0717C" w:rsidR="00240786" w:rsidRPr="007E5F2C" w:rsidRDefault="00240786" w:rsidP="00240786">
      <w:pPr>
        <w:jc w:val="both"/>
        <w:rPr>
          <w:rFonts w:ascii="Bookman Old Style" w:hAnsi="Bookman Old Style" w:cs="Times New Roman"/>
          <w:sz w:val="32"/>
          <w:szCs w:val="32"/>
        </w:rPr>
      </w:pPr>
    </w:p>
    <w:p w14:paraId="3101668D" w14:textId="3B6EF75A" w:rsidR="007B1CFB" w:rsidRPr="00287432" w:rsidRDefault="007B1CFB" w:rsidP="007E1E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1CFB" w:rsidRPr="00287432" w:rsidSect="0092398B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F42BD" w14:textId="77777777" w:rsidR="009E62F4" w:rsidRDefault="009E62F4" w:rsidP="0092398B">
      <w:pPr>
        <w:spacing w:after="0" w:line="240" w:lineRule="auto"/>
      </w:pPr>
      <w:r>
        <w:separator/>
      </w:r>
    </w:p>
  </w:endnote>
  <w:endnote w:type="continuationSeparator" w:id="0">
    <w:p w14:paraId="30DF19D0" w14:textId="77777777" w:rsidR="009E62F4" w:rsidRDefault="009E62F4" w:rsidP="0092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0DF90" w14:textId="77777777" w:rsidR="0092398B" w:rsidRDefault="00620BEF">
    <w:pPr>
      <w:pStyle w:val="Piedepgina"/>
    </w:pPr>
    <w:r>
      <w:rPr>
        <w:noProof/>
        <w:lang w:eastAsia="es-AR"/>
      </w:rPr>
      <w:drawing>
        <wp:inline distT="0" distB="0" distL="0" distR="0" wp14:anchorId="43374476" wp14:editId="3A4A38BD">
          <wp:extent cx="6120130" cy="86550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 página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6E28F" w14:textId="77777777" w:rsidR="009E62F4" w:rsidRDefault="009E62F4" w:rsidP="0092398B">
      <w:pPr>
        <w:spacing w:after="0" w:line="240" w:lineRule="auto"/>
      </w:pPr>
      <w:r>
        <w:separator/>
      </w:r>
    </w:p>
  </w:footnote>
  <w:footnote w:type="continuationSeparator" w:id="0">
    <w:p w14:paraId="63B09C7A" w14:textId="77777777" w:rsidR="009E62F4" w:rsidRDefault="009E62F4" w:rsidP="00923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E0E38" w14:textId="7EEBF7A3" w:rsidR="00DE7A52" w:rsidRDefault="00DE7A52">
    <w:pPr>
      <w:pStyle w:val="Encabezado"/>
    </w:pPr>
    <w:r>
      <w:rPr>
        <w:noProof/>
        <w:lang w:eastAsia="es-AR"/>
      </w:rPr>
      <w:drawing>
        <wp:inline distT="0" distB="0" distL="0" distR="0" wp14:anchorId="44F5003E" wp14:editId="1F7C4EE9">
          <wp:extent cx="6120765" cy="890270"/>
          <wp:effectExtent l="0" t="0" r="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8B"/>
    <w:rsid w:val="000475CE"/>
    <w:rsid w:val="00060A22"/>
    <w:rsid w:val="00067EDB"/>
    <w:rsid w:val="00075FA1"/>
    <w:rsid w:val="000930D3"/>
    <w:rsid w:val="000A2074"/>
    <w:rsid w:val="000C0D8D"/>
    <w:rsid w:val="000E6997"/>
    <w:rsid w:val="00141113"/>
    <w:rsid w:val="00145F96"/>
    <w:rsid w:val="00146DF5"/>
    <w:rsid w:val="00170B30"/>
    <w:rsid w:val="00184005"/>
    <w:rsid w:val="001C3958"/>
    <w:rsid w:val="001C4526"/>
    <w:rsid w:val="001E4469"/>
    <w:rsid w:val="00240786"/>
    <w:rsid w:val="00241F7D"/>
    <w:rsid w:val="00287432"/>
    <w:rsid w:val="0029200F"/>
    <w:rsid w:val="002959BE"/>
    <w:rsid w:val="002D0F2F"/>
    <w:rsid w:val="002E149E"/>
    <w:rsid w:val="0031533A"/>
    <w:rsid w:val="00316E5C"/>
    <w:rsid w:val="003325A7"/>
    <w:rsid w:val="003626F4"/>
    <w:rsid w:val="003F4BEF"/>
    <w:rsid w:val="004157D3"/>
    <w:rsid w:val="004622DD"/>
    <w:rsid w:val="004A7005"/>
    <w:rsid w:val="005346AA"/>
    <w:rsid w:val="00551F89"/>
    <w:rsid w:val="00553737"/>
    <w:rsid w:val="005B6185"/>
    <w:rsid w:val="006008DA"/>
    <w:rsid w:val="00616560"/>
    <w:rsid w:val="00620BEF"/>
    <w:rsid w:val="0064464B"/>
    <w:rsid w:val="006667E1"/>
    <w:rsid w:val="006C0DD5"/>
    <w:rsid w:val="006E6D62"/>
    <w:rsid w:val="007060E6"/>
    <w:rsid w:val="00716DB9"/>
    <w:rsid w:val="00731554"/>
    <w:rsid w:val="007344A3"/>
    <w:rsid w:val="007611F5"/>
    <w:rsid w:val="007711E3"/>
    <w:rsid w:val="00775EFD"/>
    <w:rsid w:val="00784D31"/>
    <w:rsid w:val="007A2B51"/>
    <w:rsid w:val="007B10FB"/>
    <w:rsid w:val="007B1CFB"/>
    <w:rsid w:val="007E16BA"/>
    <w:rsid w:val="007E1E6C"/>
    <w:rsid w:val="007E5F2C"/>
    <w:rsid w:val="0080727A"/>
    <w:rsid w:val="008A0E19"/>
    <w:rsid w:val="008C6B37"/>
    <w:rsid w:val="008D2FA0"/>
    <w:rsid w:val="008E3D2B"/>
    <w:rsid w:val="008F12AB"/>
    <w:rsid w:val="009179EC"/>
    <w:rsid w:val="00922057"/>
    <w:rsid w:val="0092398B"/>
    <w:rsid w:val="0093491C"/>
    <w:rsid w:val="0095262B"/>
    <w:rsid w:val="009759D9"/>
    <w:rsid w:val="009E62F4"/>
    <w:rsid w:val="00A355AA"/>
    <w:rsid w:val="00A37DCB"/>
    <w:rsid w:val="00A5211C"/>
    <w:rsid w:val="00A83B83"/>
    <w:rsid w:val="00AA0106"/>
    <w:rsid w:val="00AB6CD8"/>
    <w:rsid w:val="00AD088C"/>
    <w:rsid w:val="00AF0679"/>
    <w:rsid w:val="00B005B7"/>
    <w:rsid w:val="00B029C2"/>
    <w:rsid w:val="00B56769"/>
    <w:rsid w:val="00B61160"/>
    <w:rsid w:val="00B62289"/>
    <w:rsid w:val="00B91C48"/>
    <w:rsid w:val="00BA6578"/>
    <w:rsid w:val="00BD2338"/>
    <w:rsid w:val="00BD76A1"/>
    <w:rsid w:val="00BF3DA4"/>
    <w:rsid w:val="00C34EB5"/>
    <w:rsid w:val="00C35ABD"/>
    <w:rsid w:val="00C570F7"/>
    <w:rsid w:val="00CB1230"/>
    <w:rsid w:val="00CB21C7"/>
    <w:rsid w:val="00D87BE4"/>
    <w:rsid w:val="00D9620C"/>
    <w:rsid w:val="00DA07BB"/>
    <w:rsid w:val="00DC153E"/>
    <w:rsid w:val="00DC5B0D"/>
    <w:rsid w:val="00DD014C"/>
    <w:rsid w:val="00DD5266"/>
    <w:rsid w:val="00DE5E6F"/>
    <w:rsid w:val="00DE7A52"/>
    <w:rsid w:val="00DF2620"/>
    <w:rsid w:val="00E27F5E"/>
    <w:rsid w:val="00E376BD"/>
    <w:rsid w:val="00E760B2"/>
    <w:rsid w:val="00E8210C"/>
    <w:rsid w:val="00E969A9"/>
    <w:rsid w:val="00EB3CF8"/>
    <w:rsid w:val="00EC5547"/>
    <w:rsid w:val="00EE1653"/>
    <w:rsid w:val="00EE7EFF"/>
    <w:rsid w:val="00F04949"/>
    <w:rsid w:val="00F25D44"/>
    <w:rsid w:val="00F356C4"/>
    <w:rsid w:val="00F35C98"/>
    <w:rsid w:val="00F43DF3"/>
    <w:rsid w:val="00F70136"/>
    <w:rsid w:val="00F728C8"/>
    <w:rsid w:val="00F9441D"/>
    <w:rsid w:val="00FA1BEC"/>
    <w:rsid w:val="00FA7A07"/>
    <w:rsid w:val="00FD2B8B"/>
    <w:rsid w:val="00F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96414"/>
  <w15:chartTrackingRefBased/>
  <w15:docId w15:val="{BEFC4671-6B1B-4C46-AA8C-677CA940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398B"/>
  </w:style>
  <w:style w:type="paragraph" w:styleId="Piedepgina">
    <w:name w:val="footer"/>
    <w:basedOn w:val="Normal"/>
    <w:link w:val="Piedepgina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398B"/>
  </w:style>
  <w:style w:type="paragraph" w:styleId="Textodeglobo">
    <w:name w:val="Balloon Text"/>
    <w:basedOn w:val="Normal"/>
    <w:link w:val="TextodegloboCar"/>
    <w:uiPriority w:val="99"/>
    <w:semiHidden/>
    <w:unhideWhenUsed/>
    <w:rsid w:val="0092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9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51D6-AF31-497B-9526-9B47125F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Cuenta Microsoft</cp:lastModifiedBy>
  <cp:revision>2</cp:revision>
  <cp:lastPrinted>2023-12-28T15:25:00Z</cp:lastPrinted>
  <dcterms:created xsi:type="dcterms:W3CDTF">2026-09-01T11:22:00Z</dcterms:created>
  <dcterms:modified xsi:type="dcterms:W3CDTF">2026-09-01T11:22:00Z</dcterms:modified>
</cp:coreProperties>
</file>