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597B83" w14:textId="77777777" w:rsidR="00451EFC" w:rsidRDefault="00B005B7" w:rsidP="00451EFC">
      <w:pPr>
        <w:rPr>
          <w:sz w:val="24"/>
          <w:szCs w:val="24"/>
        </w:rPr>
      </w:pPr>
      <w:r w:rsidRPr="00287432">
        <w:rPr>
          <w:noProof/>
          <w:sz w:val="24"/>
          <w:szCs w:val="24"/>
          <w:lang w:eastAsia="es-AR"/>
        </w:rPr>
        <w:drawing>
          <wp:inline distT="0" distB="0" distL="0" distR="0" wp14:anchorId="66FEAF15" wp14:editId="538F989C">
            <wp:extent cx="6120130" cy="892175"/>
            <wp:effectExtent l="0" t="0" r="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cabezado página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C6A46" w14:textId="77777777" w:rsidR="00451EFC" w:rsidRDefault="00451EFC" w:rsidP="00451EFC">
      <w:pPr>
        <w:rPr>
          <w:sz w:val="24"/>
          <w:szCs w:val="24"/>
        </w:rPr>
      </w:pPr>
    </w:p>
    <w:p w14:paraId="24B5DDC4" w14:textId="77777777" w:rsidR="00451EFC" w:rsidRDefault="00451EFC" w:rsidP="00451EFC">
      <w:pPr>
        <w:rPr>
          <w:sz w:val="24"/>
          <w:szCs w:val="24"/>
        </w:rPr>
      </w:pPr>
    </w:p>
    <w:p w14:paraId="1B52CE88" w14:textId="5FE41AFE" w:rsidR="00F9441D" w:rsidRPr="00451EFC" w:rsidRDefault="00BA6578" w:rsidP="00451EFC">
      <w:pPr>
        <w:rPr>
          <w:sz w:val="24"/>
          <w:szCs w:val="24"/>
        </w:rPr>
      </w:pPr>
      <w:r w:rsidRPr="00451EFC">
        <w:rPr>
          <w:rFonts w:ascii="Bookman Old Style" w:hAnsi="Bookman Old Style" w:cs="Times New Roman"/>
          <w:bCs/>
          <w:sz w:val="24"/>
          <w:szCs w:val="24"/>
        </w:rPr>
        <w:t>FUNDAMENTOS</w:t>
      </w:r>
    </w:p>
    <w:p w14:paraId="01077707" w14:textId="238D9618" w:rsidR="00EC5547" w:rsidRPr="00451EFC" w:rsidRDefault="00F9441D" w:rsidP="00287432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451EFC">
        <w:rPr>
          <w:rFonts w:ascii="Bookman Old Style" w:hAnsi="Bookman Old Style" w:cs="Times New Roman"/>
          <w:bCs/>
          <w:sz w:val="24"/>
          <w:szCs w:val="24"/>
        </w:rPr>
        <w:t xml:space="preserve">Los días </w:t>
      </w:r>
      <w:r w:rsidR="00EC5547" w:rsidRPr="00451EFC">
        <w:rPr>
          <w:rFonts w:ascii="Bookman Old Style" w:hAnsi="Bookman Old Style" w:cs="Times New Roman"/>
          <w:bCs/>
          <w:sz w:val="24"/>
          <w:szCs w:val="24"/>
        </w:rPr>
        <w:t xml:space="preserve">11 y 12 de septiembre, desde las 10:00 horas, en el Centro de Convenciones de Gualeguaychú, se realizarán las Jornadas Nacionales "Hablemos de Donación de Sangre y Médula Ósea". </w:t>
      </w:r>
    </w:p>
    <w:p w14:paraId="12487E8D" w14:textId="4B4901F6" w:rsidR="00EC5547" w:rsidRPr="00451EFC" w:rsidRDefault="00EC5547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451EFC">
        <w:rPr>
          <w:rFonts w:ascii="Bookman Old Style" w:hAnsi="Bookman Old Style" w:cs="Times New Roman"/>
          <w:bCs/>
          <w:sz w:val="24"/>
          <w:szCs w:val="24"/>
        </w:rPr>
        <w:t>La donación voluntaria, habitual y altruista de sangre constituye un acto solidario fundamental para garantizar la disponibilidad de componentes sanguíneos seguros para quienes los necesitan;</w:t>
      </w:r>
    </w:p>
    <w:p w14:paraId="022BB0A8" w14:textId="4553E07A" w:rsidR="00EC5547" w:rsidRPr="00451EFC" w:rsidRDefault="00EC5547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451EFC">
        <w:rPr>
          <w:rFonts w:ascii="Bookman Old Style" w:hAnsi="Bookman Old Style" w:cs="Times New Roman"/>
          <w:bCs/>
          <w:sz w:val="24"/>
          <w:szCs w:val="24"/>
        </w:rPr>
        <w:t>La promoción del registro de potenciales donantes de médula ósea representa una herramienta indispensable para ampliar las posibilidades de acceso a un trasplante para pacientes con enfermedades hematológicas;</w:t>
      </w:r>
    </w:p>
    <w:p w14:paraId="6124D0CE" w14:textId="780C1527" w:rsidR="00EC5547" w:rsidRPr="00451EFC" w:rsidRDefault="00EC5547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451EFC">
        <w:rPr>
          <w:rFonts w:ascii="Bookman Old Style" w:hAnsi="Bookman Old Style" w:cs="Times New Roman"/>
          <w:bCs/>
          <w:sz w:val="24"/>
          <w:szCs w:val="24"/>
        </w:rPr>
        <w:t>El XI Encuentro de la Red Argentina de Promotores Voluntarios de Sangre y Médula Ósea reunirá en nuestra ciudad a representantes de alrededor de treinta organizaciones no gubernamentales provenientes de distintos puntos del país, fortaleciendo el intercambio de experiencias y la capacitación en materia de promoción de la donación;</w:t>
      </w:r>
    </w:p>
    <w:p w14:paraId="5C6B5C62" w14:textId="6530C25A" w:rsidR="00EC5547" w:rsidRPr="00451EFC" w:rsidRDefault="00EC5547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451EFC">
        <w:rPr>
          <w:rFonts w:ascii="Bookman Old Style" w:hAnsi="Bookman Old Style" w:cs="Times New Roman"/>
          <w:bCs/>
          <w:sz w:val="24"/>
          <w:szCs w:val="24"/>
        </w:rPr>
        <w:t xml:space="preserve">Las jornadas contarán con la participación de destacados referentes nacionales en medicina transfusional, como la Dra. María Susana </w:t>
      </w:r>
      <w:proofErr w:type="spellStart"/>
      <w:r w:rsidRPr="00451EFC">
        <w:rPr>
          <w:rFonts w:ascii="Bookman Old Style" w:hAnsi="Bookman Old Style" w:cs="Times New Roman"/>
          <w:bCs/>
          <w:sz w:val="24"/>
          <w:szCs w:val="24"/>
        </w:rPr>
        <w:t>Pisarello</w:t>
      </w:r>
      <w:proofErr w:type="spellEnd"/>
      <w:r w:rsidRPr="00451EFC">
        <w:rPr>
          <w:rFonts w:ascii="Bookman Old Style" w:hAnsi="Bookman Old Style" w:cs="Times New Roman"/>
          <w:bCs/>
          <w:sz w:val="24"/>
          <w:szCs w:val="24"/>
        </w:rPr>
        <w:t xml:space="preserve">, directora de Medicina Transfusional del Ministerio de Salud de la Nación, y la Dra. Silvina </w:t>
      </w:r>
      <w:proofErr w:type="spellStart"/>
      <w:r w:rsidRPr="00451EFC">
        <w:rPr>
          <w:rFonts w:ascii="Bookman Old Style" w:hAnsi="Bookman Old Style" w:cs="Times New Roman"/>
          <w:bCs/>
          <w:sz w:val="24"/>
          <w:szCs w:val="24"/>
        </w:rPr>
        <w:t>Kuperman</w:t>
      </w:r>
      <w:proofErr w:type="spellEnd"/>
      <w:r w:rsidRPr="00451EFC">
        <w:rPr>
          <w:rFonts w:ascii="Bookman Old Style" w:hAnsi="Bookman Old Style" w:cs="Times New Roman"/>
          <w:bCs/>
          <w:sz w:val="24"/>
          <w:szCs w:val="24"/>
        </w:rPr>
        <w:t xml:space="preserve">, coordinadora de los Bancos Asistenciales del Hospital de Pediatría "Prof. Dr. Juan P. </w:t>
      </w:r>
      <w:proofErr w:type="spellStart"/>
      <w:r w:rsidRPr="00451EFC">
        <w:rPr>
          <w:rFonts w:ascii="Bookman Old Style" w:hAnsi="Bookman Old Style" w:cs="Times New Roman"/>
          <w:bCs/>
          <w:sz w:val="24"/>
          <w:szCs w:val="24"/>
        </w:rPr>
        <w:t>Garrahan</w:t>
      </w:r>
      <w:proofErr w:type="spellEnd"/>
      <w:r w:rsidRPr="00451EFC">
        <w:rPr>
          <w:rFonts w:ascii="Bookman Old Style" w:hAnsi="Bookman Old Style" w:cs="Times New Roman"/>
          <w:bCs/>
          <w:sz w:val="24"/>
          <w:szCs w:val="24"/>
        </w:rPr>
        <w:t>", quienes aportarán su experiencia y conocimientos en la temática.</w:t>
      </w:r>
    </w:p>
    <w:p w14:paraId="1DC3FB83" w14:textId="577396A8" w:rsidR="00EC5547" w:rsidRPr="00451EFC" w:rsidRDefault="00EC5547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451EFC">
        <w:rPr>
          <w:rFonts w:ascii="Bookman Old Style" w:hAnsi="Bookman Old Style" w:cs="Times New Roman"/>
          <w:bCs/>
          <w:sz w:val="24"/>
          <w:szCs w:val="24"/>
        </w:rPr>
        <w:t>La propuesta está destinada a docentes, estudiantes, profesionales de la salud y público en general, promoviendo la concientización sobre la importancia de la donación de sangre y médula ósea como política sanitaria basada en la solidaridad y el compromiso comunitario;</w:t>
      </w:r>
    </w:p>
    <w:p w14:paraId="02949740" w14:textId="12141BE2" w:rsidR="00EC5547" w:rsidRPr="00451EFC" w:rsidRDefault="00EC5547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451EFC">
        <w:rPr>
          <w:rFonts w:ascii="Bookman Old Style" w:hAnsi="Bookman Old Style" w:cs="Times New Roman"/>
          <w:bCs/>
          <w:sz w:val="24"/>
          <w:szCs w:val="24"/>
        </w:rPr>
        <w:t>Durante la jornada se desarrollará una colecta de sangre y se realizarán inscripciones al Registro Nacional de Donantes de Células Progenitoras Hematopoyéticas mediante hisopado, facilitando la participación activa de la ciudadanía;</w:t>
      </w:r>
    </w:p>
    <w:p w14:paraId="197B30BE" w14:textId="5E625C9F" w:rsidR="00EC5547" w:rsidRPr="00451EFC" w:rsidRDefault="00EC5547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  <w:r w:rsidRPr="00451EFC">
        <w:rPr>
          <w:rFonts w:ascii="Bookman Old Style" w:hAnsi="Bookman Old Style" w:cs="Times New Roman"/>
          <w:bCs/>
          <w:sz w:val="24"/>
          <w:szCs w:val="24"/>
        </w:rPr>
        <w:t>La actividad cuenta con la organización de la Asociación Civil Donar en Vida y el acompañamiento del Banco de Sangre, el Hospital Bicentenario Gualeguaychú, el INCUCAI, el CUCAIER, y el Gobierno de Gualeguaychú;</w:t>
      </w:r>
    </w:p>
    <w:p w14:paraId="599F49D2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4EDFDAF3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7CDF7810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11CE3CD1" w14:textId="1F2A1DF9" w:rsidR="00EC5547" w:rsidRPr="00451EFC" w:rsidRDefault="00EC5547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  <w:bookmarkStart w:id="0" w:name="_GoBack"/>
      <w:bookmarkEnd w:id="0"/>
      <w:r w:rsidRPr="00451EFC">
        <w:rPr>
          <w:rFonts w:ascii="Bookman Old Style" w:hAnsi="Bookman Old Style" w:cs="Times New Roman"/>
          <w:bCs/>
          <w:sz w:val="24"/>
          <w:szCs w:val="24"/>
        </w:rPr>
        <w:t xml:space="preserve">Resulta de interés para la comunidad reconocer y acompañar iniciativas que promueven la salud pública, la educación sanitaria, la participación ciudadana y los valores de </w:t>
      </w:r>
      <w:r w:rsidR="008D2FA0" w:rsidRPr="00451EFC">
        <w:rPr>
          <w:rFonts w:ascii="Bookman Old Style" w:hAnsi="Bookman Old Style" w:cs="Times New Roman"/>
          <w:bCs/>
          <w:sz w:val="24"/>
          <w:szCs w:val="24"/>
        </w:rPr>
        <w:t xml:space="preserve">solidaridad y compromiso social, y, en </w:t>
      </w:r>
      <w:r w:rsidR="00616560" w:rsidRPr="00451EFC">
        <w:rPr>
          <w:rFonts w:ascii="Bookman Old Style" w:hAnsi="Bookman Old Style" w:cs="Times New Roman"/>
          <w:bCs/>
          <w:sz w:val="24"/>
          <w:szCs w:val="24"/>
        </w:rPr>
        <w:t>consecuencia,</w:t>
      </w:r>
      <w:r w:rsidR="008D2FA0" w:rsidRPr="00451EFC">
        <w:rPr>
          <w:rFonts w:ascii="Bookman Old Style" w:hAnsi="Bookman Old Style" w:cs="Times New Roman"/>
          <w:bCs/>
          <w:sz w:val="24"/>
          <w:szCs w:val="24"/>
        </w:rPr>
        <w:t xml:space="preserve"> solicito </w:t>
      </w:r>
      <w:r w:rsidR="00616560" w:rsidRPr="00451EFC">
        <w:rPr>
          <w:rFonts w:ascii="Bookman Old Style" w:hAnsi="Bookman Old Style" w:cs="Times New Roman"/>
          <w:bCs/>
          <w:sz w:val="24"/>
          <w:szCs w:val="24"/>
        </w:rPr>
        <w:t>el acompañamiento de los Sres. Senadores.</w:t>
      </w:r>
    </w:p>
    <w:p w14:paraId="43A0CE56" w14:textId="0B18993B" w:rsidR="00EC5547" w:rsidRPr="00451EFC" w:rsidRDefault="00EC5547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49BB13B2" w14:textId="28EF7466" w:rsidR="00EC5547" w:rsidRDefault="00EC5547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700975FA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35FFE67E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353A2E31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140ACD0B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7D68DE28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3B1FA974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48B4A9F9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55E97F56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79C6E3D3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5E1F10D5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68D5ACE5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6856AE25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6063C34A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6E47E5C4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57468205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46F6D05C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05A42B66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06219098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50B4D4F5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445AAE9E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65E9C7A7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549D2CDB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2CCEA992" w14:textId="77777777" w:rsid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13A26F94" w14:textId="77777777" w:rsidR="00451EFC" w:rsidRPr="00451EFC" w:rsidRDefault="00451EFC" w:rsidP="00EC5547">
      <w:pPr>
        <w:ind w:firstLine="708"/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21EF1DF6" w14:textId="668CE019" w:rsidR="00F9441D" w:rsidRPr="00451EFC" w:rsidRDefault="00F9441D" w:rsidP="00F9441D">
      <w:pPr>
        <w:jc w:val="both"/>
        <w:rPr>
          <w:rFonts w:ascii="Bookman Old Style" w:hAnsi="Bookman Old Style" w:cs="Times New Roman"/>
          <w:bCs/>
          <w:sz w:val="24"/>
          <w:szCs w:val="24"/>
        </w:rPr>
      </w:pPr>
    </w:p>
    <w:p w14:paraId="5EC1139E" w14:textId="252AFC4C" w:rsidR="00AB6CD8" w:rsidRPr="00287432" w:rsidRDefault="00145F96">
      <w:pPr>
        <w:rPr>
          <w:sz w:val="24"/>
          <w:szCs w:val="24"/>
        </w:rPr>
      </w:pPr>
      <w:r w:rsidRPr="00287432">
        <w:rPr>
          <w:noProof/>
          <w:sz w:val="24"/>
          <w:szCs w:val="24"/>
          <w:lang w:eastAsia="es-AR"/>
        </w:rPr>
        <w:drawing>
          <wp:inline distT="0" distB="0" distL="0" distR="0" wp14:anchorId="7D1DA6C1" wp14:editId="538DC489">
            <wp:extent cx="6120130" cy="892175"/>
            <wp:effectExtent l="0" t="0" r="0" b="3175"/>
            <wp:docPr id="572936068" name="Imagen 572936068" descr="Imagen que contiene Rectángul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936068" name="Imagen 572936068" descr="Imagen que contiene Rectángulo&#10;&#10;Descripción generada automá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B7B7D" w14:textId="77777777" w:rsidR="007B1CFB" w:rsidRPr="00287432" w:rsidRDefault="007B1CFB">
      <w:pPr>
        <w:rPr>
          <w:sz w:val="24"/>
          <w:szCs w:val="24"/>
        </w:rPr>
      </w:pPr>
    </w:p>
    <w:p w14:paraId="4CE969A7" w14:textId="77777777" w:rsidR="00451EFC" w:rsidRPr="00451EFC" w:rsidRDefault="00451EFC" w:rsidP="007B1CFB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</w:p>
    <w:p w14:paraId="020D44B0" w14:textId="77777777" w:rsidR="007B1CFB" w:rsidRPr="00451EFC" w:rsidRDefault="007B1CFB" w:rsidP="007B1CFB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451EFC">
        <w:rPr>
          <w:rFonts w:ascii="Bookman Old Style" w:hAnsi="Bookman Old Style" w:cs="Times New Roman"/>
          <w:b/>
          <w:bCs/>
          <w:sz w:val="28"/>
          <w:szCs w:val="28"/>
        </w:rPr>
        <w:t>LA HONORABLE CÁMARA DE SENADORES</w:t>
      </w:r>
    </w:p>
    <w:p w14:paraId="5210D74C" w14:textId="77777777" w:rsidR="007B1CFB" w:rsidRPr="00451EFC" w:rsidRDefault="007B1CFB" w:rsidP="007B1CFB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451EFC">
        <w:rPr>
          <w:rFonts w:ascii="Bookman Old Style" w:hAnsi="Bookman Old Style" w:cs="Times New Roman"/>
          <w:b/>
          <w:bCs/>
          <w:sz w:val="28"/>
          <w:szCs w:val="28"/>
        </w:rPr>
        <w:t>DE LA PROVINCIA DE ENTRE RÍOS</w:t>
      </w:r>
    </w:p>
    <w:p w14:paraId="6B2063C3" w14:textId="14F66E12" w:rsidR="007B1CFB" w:rsidRPr="00451EFC" w:rsidRDefault="007B1CFB" w:rsidP="007B1CFB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451EFC">
        <w:rPr>
          <w:rFonts w:ascii="Bookman Old Style" w:hAnsi="Bookman Old Style" w:cs="Times New Roman"/>
          <w:b/>
          <w:bCs/>
          <w:sz w:val="28"/>
          <w:szCs w:val="28"/>
        </w:rPr>
        <w:t>D E C L A R A</w:t>
      </w:r>
      <w:r w:rsidR="00451EFC" w:rsidRPr="00451EFC">
        <w:rPr>
          <w:rFonts w:ascii="Bookman Old Style" w:hAnsi="Bookman Old Style" w:cs="Times New Roman"/>
          <w:b/>
          <w:bCs/>
          <w:sz w:val="28"/>
          <w:szCs w:val="28"/>
        </w:rPr>
        <w:t>:</w:t>
      </w:r>
    </w:p>
    <w:p w14:paraId="54A028EC" w14:textId="77777777" w:rsidR="007B1CFB" w:rsidRPr="00451EFC" w:rsidRDefault="007B1CFB" w:rsidP="007B1CFB">
      <w:pPr>
        <w:jc w:val="both"/>
        <w:rPr>
          <w:rFonts w:ascii="Bookman Old Style" w:hAnsi="Bookman Old Style" w:cs="Times New Roman"/>
          <w:sz w:val="28"/>
          <w:szCs w:val="28"/>
        </w:rPr>
      </w:pPr>
    </w:p>
    <w:p w14:paraId="45DEAD15" w14:textId="59E25DD1" w:rsidR="008D2FA0" w:rsidRPr="00451EFC" w:rsidRDefault="00FE17AC" w:rsidP="008D2FA0">
      <w:pPr>
        <w:jc w:val="both"/>
        <w:rPr>
          <w:rFonts w:ascii="Bookman Old Style" w:hAnsi="Bookman Old Style" w:cs="Times New Roman"/>
          <w:sz w:val="28"/>
          <w:szCs w:val="28"/>
        </w:rPr>
      </w:pPr>
      <w:r w:rsidRPr="00451EFC">
        <w:rPr>
          <w:rFonts w:ascii="Bookman Old Style" w:hAnsi="Bookman Old Style" w:cs="Times New Roman"/>
          <w:b/>
          <w:bCs/>
          <w:sz w:val="28"/>
          <w:szCs w:val="28"/>
        </w:rPr>
        <w:t>PRIMERO:</w:t>
      </w:r>
      <w:r w:rsidRPr="00451EFC">
        <w:rPr>
          <w:rFonts w:ascii="Bookman Old Style" w:hAnsi="Bookman Old Style" w:cs="Times New Roman"/>
          <w:sz w:val="28"/>
          <w:szCs w:val="28"/>
        </w:rPr>
        <w:t xml:space="preserve"> De</w:t>
      </w:r>
      <w:r w:rsidR="008D2FA0" w:rsidRPr="00451EFC">
        <w:rPr>
          <w:rFonts w:ascii="Bookman Old Style" w:hAnsi="Bookman Old Style" w:cs="Times New Roman"/>
          <w:sz w:val="28"/>
          <w:szCs w:val="28"/>
        </w:rPr>
        <w:t>clarar de i</w:t>
      </w:r>
      <w:r w:rsidRPr="00451EFC">
        <w:rPr>
          <w:rFonts w:ascii="Bookman Old Style" w:hAnsi="Bookman Old Style" w:cs="Times New Roman"/>
          <w:sz w:val="28"/>
          <w:szCs w:val="28"/>
        </w:rPr>
        <w:t xml:space="preserve">nterés </w:t>
      </w:r>
      <w:r w:rsidR="00F35C98" w:rsidRPr="00451EFC">
        <w:rPr>
          <w:rFonts w:ascii="Bookman Old Style" w:hAnsi="Bookman Old Style" w:cs="Times New Roman"/>
          <w:sz w:val="28"/>
          <w:szCs w:val="28"/>
        </w:rPr>
        <w:t xml:space="preserve">legislativo </w:t>
      </w:r>
      <w:r w:rsidR="00FA7A07" w:rsidRPr="00451EFC">
        <w:rPr>
          <w:rFonts w:ascii="Bookman Old Style" w:hAnsi="Bookman Old Style" w:cs="Times New Roman"/>
          <w:sz w:val="28"/>
          <w:szCs w:val="28"/>
        </w:rPr>
        <w:t>la realización de</w:t>
      </w:r>
      <w:r w:rsidR="008D2FA0" w:rsidRPr="00451EFC">
        <w:rPr>
          <w:rFonts w:ascii="Bookman Old Style" w:hAnsi="Bookman Old Style" w:cs="Times New Roman"/>
          <w:sz w:val="28"/>
          <w:szCs w:val="28"/>
        </w:rPr>
        <w:t xml:space="preserve"> las Jornadas Nacionales "Hablemos de Donación de Sangre y Médula Ósea", que se llevaran a cabo los </w:t>
      </w:r>
      <w:r w:rsidR="008D2FA0" w:rsidRPr="00451EFC">
        <w:rPr>
          <w:rFonts w:ascii="Bookman Old Style" w:hAnsi="Bookman Old Style" w:cs="Times New Roman"/>
          <w:bCs/>
          <w:sz w:val="28"/>
          <w:szCs w:val="28"/>
        </w:rPr>
        <w:t>días 11 y 12 de septiembre, desde las 10:00 horas, en el Centro de Convenciones de Gualeguaychú,</w:t>
      </w:r>
    </w:p>
    <w:p w14:paraId="1672568C" w14:textId="324774E0" w:rsidR="008D2FA0" w:rsidRPr="00451EFC" w:rsidRDefault="00FE17AC" w:rsidP="007E1E6C">
      <w:pPr>
        <w:jc w:val="both"/>
        <w:rPr>
          <w:rFonts w:ascii="Bookman Old Style" w:hAnsi="Bookman Old Style" w:cs="Times New Roman"/>
          <w:sz w:val="28"/>
          <w:szCs w:val="28"/>
        </w:rPr>
      </w:pPr>
      <w:r w:rsidRPr="00451EFC">
        <w:rPr>
          <w:rFonts w:ascii="Bookman Old Style" w:hAnsi="Bookman Old Style" w:cs="Times New Roman"/>
          <w:b/>
          <w:bCs/>
          <w:sz w:val="28"/>
          <w:szCs w:val="28"/>
        </w:rPr>
        <w:t>SEGUNDO:</w:t>
      </w:r>
      <w:r w:rsidRPr="00451EFC">
        <w:rPr>
          <w:rFonts w:ascii="Bookman Old Style" w:hAnsi="Bookman Old Style" w:cs="Times New Roman"/>
          <w:sz w:val="28"/>
          <w:szCs w:val="28"/>
        </w:rPr>
        <w:t xml:space="preserve"> Comuníq</w:t>
      </w:r>
      <w:r w:rsidR="00FA7A07" w:rsidRPr="00451EFC">
        <w:rPr>
          <w:rFonts w:ascii="Bookman Old Style" w:hAnsi="Bookman Old Style" w:cs="Times New Roman"/>
          <w:sz w:val="28"/>
          <w:szCs w:val="28"/>
        </w:rPr>
        <w:t>uese a</w:t>
      </w:r>
      <w:r w:rsidR="008D2FA0" w:rsidRPr="00451EFC">
        <w:rPr>
          <w:rFonts w:ascii="Bookman Old Style" w:hAnsi="Bookman Old Style" w:cs="Times New Roman"/>
          <w:sz w:val="28"/>
          <w:szCs w:val="28"/>
        </w:rPr>
        <w:t>l</w:t>
      </w:r>
      <w:r w:rsidR="00DD014C" w:rsidRPr="00451EFC">
        <w:rPr>
          <w:rFonts w:ascii="Bookman Old Style" w:hAnsi="Bookman Old Style" w:cs="Times New Roman"/>
          <w:sz w:val="28"/>
          <w:szCs w:val="28"/>
        </w:rPr>
        <w:t xml:space="preserve"> Sr</w:t>
      </w:r>
      <w:r w:rsidR="003325A7" w:rsidRPr="00451EFC">
        <w:rPr>
          <w:rFonts w:ascii="Bookman Old Style" w:hAnsi="Bookman Old Style" w:cs="Times New Roman"/>
          <w:sz w:val="28"/>
          <w:szCs w:val="28"/>
        </w:rPr>
        <w:t xml:space="preserve">. </w:t>
      </w:r>
      <w:r w:rsidR="008D2FA0" w:rsidRPr="00451EFC">
        <w:rPr>
          <w:rFonts w:ascii="Bookman Old Style" w:hAnsi="Bookman Old Style" w:cs="Times New Roman"/>
          <w:sz w:val="28"/>
          <w:szCs w:val="28"/>
        </w:rPr>
        <w:t>Presidente Municipal</w:t>
      </w:r>
      <w:r w:rsidR="00616560" w:rsidRPr="00451EFC">
        <w:rPr>
          <w:rFonts w:ascii="Bookman Old Style" w:hAnsi="Bookman Old Style" w:cs="Times New Roman"/>
          <w:sz w:val="28"/>
          <w:szCs w:val="28"/>
        </w:rPr>
        <w:t xml:space="preserve"> de la ciudad de </w:t>
      </w:r>
      <w:proofErr w:type="spellStart"/>
      <w:r w:rsidR="00616560" w:rsidRPr="00451EFC">
        <w:rPr>
          <w:rFonts w:ascii="Bookman Old Style" w:hAnsi="Bookman Old Style" w:cs="Times New Roman"/>
          <w:sz w:val="28"/>
          <w:szCs w:val="28"/>
        </w:rPr>
        <w:t>Gualeguaychú</w:t>
      </w:r>
      <w:proofErr w:type="spellEnd"/>
      <w:r w:rsidR="008D2FA0" w:rsidRPr="00451EFC">
        <w:rPr>
          <w:rFonts w:ascii="Bookman Old Style" w:hAnsi="Bookman Old Style" w:cs="Times New Roman"/>
          <w:sz w:val="28"/>
          <w:szCs w:val="28"/>
        </w:rPr>
        <w:t xml:space="preserve"> </w:t>
      </w:r>
      <w:proofErr w:type="spellStart"/>
      <w:r w:rsidR="008D2FA0" w:rsidRPr="00451EFC">
        <w:rPr>
          <w:rFonts w:ascii="Bookman Old Style" w:hAnsi="Bookman Old Style" w:cs="Times New Roman"/>
          <w:sz w:val="28"/>
          <w:szCs w:val="28"/>
        </w:rPr>
        <w:t>Dn</w:t>
      </w:r>
      <w:proofErr w:type="spellEnd"/>
      <w:r w:rsidR="008D2FA0" w:rsidRPr="00451EFC">
        <w:rPr>
          <w:rFonts w:ascii="Bookman Old Style" w:hAnsi="Bookman Old Style" w:cs="Times New Roman"/>
          <w:sz w:val="28"/>
          <w:szCs w:val="28"/>
        </w:rPr>
        <w:t xml:space="preserve">. Mauricio </w:t>
      </w:r>
      <w:proofErr w:type="spellStart"/>
      <w:r w:rsidR="008D2FA0" w:rsidRPr="00451EFC">
        <w:rPr>
          <w:rFonts w:ascii="Bookman Old Style" w:hAnsi="Bookman Old Style" w:cs="Times New Roman"/>
          <w:sz w:val="28"/>
          <w:szCs w:val="28"/>
        </w:rPr>
        <w:t>Davico</w:t>
      </w:r>
      <w:proofErr w:type="spellEnd"/>
      <w:r w:rsidR="008D2FA0" w:rsidRPr="00451EFC">
        <w:rPr>
          <w:rFonts w:ascii="Bookman Old Style" w:hAnsi="Bookman Old Style" w:cs="Times New Roman"/>
          <w:sz w:val="28"/>
          <w:szCs w:val="28"/>
        </w:rPr>
        <w:t>.</w:t>
      </w:r>
    </w:p>
    <w:p w14:paraId="3101668D" w14:textId="3B6EF75A" w:rsidR="007B1CFB" w:rsidRPr="00287432" w:rsidRDefault="007B1CFB" w:rsidP="007E1E6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B1CFB" w:rsidRPr="00287432" w:rsidSect="0092398B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2795E0" w14:textId="77777777" w:rsidR="00C03351" w:rsidRDefault="00C03351" w:rsidP="0092398B">
      <w:pPr>
        <w:spacing w:after="0" w:line="240" w:lineRule="auto"/>
      </w:pPr>
      <w:r>
        <w:separator/>
      </w:r>
    </w:p>
  </w:endnote>
  <w:endnote w:type="continuationSeparator" w:id="0">
    <w:p w14:paraId="49938915" w14:textId="77777777" w:rsidR="00C03351" w:rsidRDefault="00C03351" w:rsidP="0092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0DF90" w14:textId="77777777" w:rsidR="0092398B" w:rsidRDefault="00620BEF">
    <w:pPr>
      <w:pStyle w:val="Piedepgina"/>
    </w:pPr>
    <w:r>
      <w:rPr>
        <w:noProof/>
        <w:lang w:eastAsia="es-AR"/>
      </w:rPr>
      <w:drawing>
        <wp:inline distT="0" distB="0" distL="0" distR="0" wp14:anchorId="43374476" wp14:editId="3A4A38BD">
          <wp:extent cx="6120130" cy="86550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 página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619C1" w14:textId="77777777" w:rsidR="00C03351" w:rsidRDefault="00C03351" w:rsidP="0092398B">
      <w:pPr>
        <w:spacing w:after="0" w:line="240" w:lineRule="auto"/>
      </w:pPr>
      <w:r>
        <w:separator/>
      </w:r>
    </w:p>
  </w:footnote>
  <w:footnote w:type="continuationSeparator" w:id="0">
    <w:p w14:paraId="581A6D34" w14:textId="77777777" w:rsidR="00C03351" w:rsidRDefault="00C03351" w:rsidP="009239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98B"/>
    <w:rsid w:val="00060A22"/>
    <w:rsid w:val="00067EDB"/>
    <w:rsid w:val="00075FA1"/>
    <w:rsid w:val="000A2074"/>
    <w:rsid w:val="000C0D8D"/>
    <w:rsid w:val="000E6997"/>
    <w:rsid w:val="00141113"/>
    <w:rsid w:val="00145F96"/>
    <w:rsid w:val="00146DF5"/>
    <w:rsid w:val="00170B30"/>
    <w:rsid w:val="001C3958"/>
    <w:rsid w:val="001C4526"/>
    <w:rsid w:val="001E4469"/>
    <w:rsid w:val="00241F7D"/>
    <w:rsid w:val="00287432"/>
    <w:rsid w:val="0029200F"/>
    <w:rsid w:val="002959BE"/>
    <w:rsid w:val="002D0F2F"/>
    <w:rsid w:val="002E149E"/>
    <w:rsid w:val="0031533A"/>
    <w:rsid w:val="00316E5C"/>
    <w:rsid w:val="003325A7"/>
    <w:rsid w:val="003626F4"/>
    <w:rsid w:val="003F4BEF"/>
    <w:rsid w:val="004157D3"/>
    <w:rsid w:val="00451EFC"/>
    <w:rsid w:val="004622DD"/>
    <w:rsid w:val="004A7005"/>
    <w:rsid w:val="005346AA"/>
    <w:rsid w:val="00551F89"/>
    <w:rsid w:val="00553737"/>
    <w:rsid w:val="005B6185"/>
    <w:rsid w:val="006008DA"/>
    <w:rsid w:val="00616560"/>
    <w:rsid w:val="00620BEF"/>
    <w:rsid w:val="0064464B"/>
    <w:rsid w:val="006667E1"/>
    <w:rsid w:val="006C0DD5"/>
    <w:rsid w:val="006E6D62"/>
    <w:rsid w:val="007060E6"/>
    <w:rsid w:val="00716DB9"/>
    <w:rsid w:val="00731554"/>
    <w:rsid w:val="007344A3"/>
    <w:rsid w:val="007611F5"/>
    <w:rsid w:val="007711E3"/>
    <w:rsid w:val="00775EFD"/>
    <w:rsid w:val="00784D31"/>
    <w:rsid w:val="007A2B51"/>
    <w:rsid w:val="007B10FB"/>
    <w:rsid w:val="007B1CFB"/>
    <w:rsid w:val="007E16BA"/>
    <w:rsid w:val="007E1E6C"/>
    <w:rsid w:val="0080727A"/>
    <w:rsid w:val="008A0E19"/>
    <w:rsid w:val="008C6B37"/>
    <w:rsid w:val="008D2FA0"/>
    <w:rsid w:val="008E3D2B"/>
    <w:rsid w:val="008F12AB"/>
    <w:rsid w:val="009179EC"/>
    <w:rsid w:val="00922057"/>
    <w:rsid w:val="0092398B"/>
    <w:rsid w:val="0093491C"/>
    <w:rsid w:val="0095262B"/>
    <w:rsid w:val="009759D9"/>
    <w:rsid w:val="00A355AA"/>
    <w:rsid w:val="00A37DCB"/>
    <w:rsid w:val="00A5211C"/>
    <w:rsid w:val="00A83B83"/>
    <w:rsid w:val="00AA0106"/>
    <w:rsid w:val="00AB6CD8"/>
    <w:rsid w:val="00AD088C"/>
    <w:rsid w:val="00AF0679"/>
    <w:rsid w:val="00B005B7"/>
    <w:rsid w:val="00B029C2"/>
    <w:rsid w:val="00B56769"/>
    <w:rsid w:val="00B61160"/>
    <w:rsid w:val="00B62289"/>
    <w:rsid w:val="00B91C48"/>
    <w:rsid w:val="00BA6578"/>
    <w:rsid w:val="00BD2338"/>
    <w:rsid w:val="00BD76A1"/>
    <w:rsid w:val="00BF3DA4"/>
    <w:rsid w:val="00C03351"/>
    <w:rsid w:val="00C34EB5"/>
    <w:rsid w:val="00C35ABD"/>
    <w:rsid w:val="00C570F7"/>
    <w:rsid w:val="00CB1230"/>
    <w:rsid w:val="00CB21C7"/>
    <w:rsid w:val="00D87BE4"/>
    <w:rsid w:val="00D9620C"/>
    <w:rsid w:val="00DC153E"/>
    <w:rsid w:val="00DC5B0D"/>
    <w:rsid w:val="00DD014C"/>
    <w:rsid w:val="00DD5266"/>
    <w:rsid w:val="00DE5E6F"/>
    <w:rsid w:val="00DF2620"/>
    <w:rsid w:val="00E27F5E"/>
    <w:rsid w:val="00E376BD"/>
    <w:rsid w:val="00E760B2"/>
    <w:rsid w:val="00E8210C"/>
    <w:rsid w:val="00E969A9"/>
    <w:rsid w:val="00EB3CF8"/>
    <w:rsid w:val="00EC5547"/>
    <w:rsid w:val="00EE1653"/>
    <w:rsid w:val="00EE7EFF"/>
    <w:rsid w:val="00F04949"/>
    <w:rsid w:val="00F25D44"/>
    <w:rsid w:val="00F356C4"/>
    <w:rsid w:val="00F35C98"/>
    <w:rsid w:val="00F43DF3"/>
    <w:rsid w:val="00F70136"/>
    <w:rsid w:val="00F728C8"/>
    <w:rsid w:val="00F9441D"/>
    <w:rsid w:val="00FA1BEC"/>
    <w:rsid w:val="00FA7A07"/>
    <w:rsid w:val="00FD2B8B"/>
    <w:rsid w:val="00F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D96414"/>
  <w15:chartTrackingRefBased/>
  <w15:docId w15:val="{BEFC4671-6B1B-4C46-AA8C-677CA940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398B"/>
  </w:style>
  <w:style w:type="paragraph" w:styleId="Piedepgina">
    <w:name w:val="footer"/>
    <w:basedOn w:val="Normal"/>
    <w:link w:val="PiedepginaCar"/>
    <w:uiPriority w:val="99"/>
    <w:unhideWhenUsed/>
    <w:rsid w:val="0092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398B"/>
  </w:style>
  <w:style w:type="paragraph" w:styleId="Textodeglobo">
    <w:name w:val="Balloon Text"/>
    <w:basedOn w:val="Normal"/>
    <w:link w:val="TextodegloboCar"/>
    <w:uiPriority w:val="99"/>
    <w:semiHidden/>
    <w:unhideWhenUsed/>
    <w:rsid w:val="00923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398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2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9DA2E-3730-415E-BA2E-D6C5BCD74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Cuenta Microsoft</cp:lastModifiedBy>
  <cp:revision>2</cp:revision>
  <cp:lastPrinted>2023-12-28T15:25:00Z</cp:lastPrinted>
  <dcterms:created xsi:type="dcterms:W3CDTF">2026-08-26T15:34:00Z</dcterms:created>
  <dcterms:modified xsi:type="dcterms:W3CDTF">2026-08-26T15:34:00Z</dcterms:modified>
</cp:coreProperties>
</file>