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spacing w:before="0" w:after="60" w:line="360" w:lineRule="auto"/>
        <w:jc w:val="center"/>
      </w:pPr>
      <w:r>
        <w:rPr>
          <w:rFonts w:ascii="Arial" w:hAnsi="Arial"/>
          <w:b/>
          <w:i w:val="0"/>
          <w:color w:val="000000"/>
          <w:sz w:val="24"/>
        </w:rPr>
        <w:t>PROYECTO DE LEY</w:t>
      </w:r>
    </w:p>
    <w:p>
      <w:pPr>
        <w:keepNext/>
        <w:spacing w:before="0" w:after="60" w:line="360" w:lineRule="auto"/>
        <w:jc w:val="center"/>
      </w:pPr>
      <w:r>
        <w:rPr>
          <w:rFonts w:ascii="Arial" w:hAnsi="Arial"/>
          <w:b/>
          <w:i w:val="0"/>
          <w:color w:val="000000"/>
          <w:sz w:val="24"/>
        </w:rPr>
        <w:t>"LEY DE AFILIACIÓN Y DESAFILIACIÓN DIGITAL Y CONTROL CIUDADANO DE LA IDENTIDAD POLÍTICA"</w:t>
      </w:r>
    </w:p>
    <w:p>
      <w:pPr>
        <w:keepNext/>
        <w:spacing w:before="0" w:after="160" w:line="360" w:lineRule="auto"/>
        <w:jc w:val="center"/>
      </w:pPr>
      <w:r>
        <w:rPr>
          <w:rFonts w:ascii="Arial" w:hAnsi="Arial"/>
          <w:b w:val="0"/>
          <w:i/>
          <w:color w:val="000000"/>
          <w:sz w:val="22"/>
        </w:rPr>
        <w:t>Autora: Senadora Patricia Teresa Díaz - Departamento La Paz - Bloque Hacer Futuro</w:t>
      </w:r>
    </w:p>
    <w:p>
      <w:pPr>
        <w:keepNext/>
        <w:spacing w:before="0" w:after="0" w:line="360" w:lineRule="auto"/>
        <w:jc w:val="center"/>
      </w:pPr>
      <w:r>
        <w:rPr>
          <w:rFonts w:ascii="Arial" w:hAnsi="Arial"/>
          <w:b/>
          <w:i w:val="0"/>
          <w:color w:val="000000"/>
          <w:sz w:val="24"/>
        </w:rPr>
        <w:t>LA LEGISLATURA DE LA PROVINCIA DE ENTRE RÍOS</w:t>
      </w:r>
    </w:p>
    <w:p>
      <w:pPr>
        <w:keepNext/>
        <w:spacing w:before="0" w:after="180" w:line="360" w:lineRule="auto"/>
        <w:jc w:val="center"/>
      </w:pPr>
      <w:r>
        <w:rPr>
          <w:rFonts w:ascii="Arial" w:hAnsi="Arial"/>
          <w:b/>
          <w:i w:val="0"/>
          <w:color w:val="000000"/>
          <w:sz w:val="24"/>
        </w:rPr>
        <w:t>SANCIONA CON FUERZA DE LEY:</w:t>
      </w:r>
    </w:p>
    <w:p>
      <w:pPr>
        <w:pStyle w:val="Ttulo1"/>
        <w:keepNext/>
      </w:pPr>
      <w:r>
        <w:t>CAPÍTULO I</w:t>
      </w:r>
    </w:p>
    <w:p>
      <w:pPr>
        <w:pStyle w:val="Ttulo2"/>
        <w:keepNext/>
      </w:pPr>
      <w:r>
        <w:t>OBJETO, ÁMBITO Y PRINCIPIOS</w:t>
      </w:r>
    </w:p>
    <w:p>
      <w:pPr>
        <w:widowControl/>
        <w:spacing w:before="0" w:after="120" w:line="360" w:lineRule="auto"/>
        <w:jc w:val="both"/>
      </w:pPr>
      <w:r>
        <w:rPr>
          <w:rFonts w:ascii="Arial" w:hAnsi="Arial"/>
          <w:b/>
          <w:color w:val="000000"/>
          <w:sz w:val="24"/>
        </w:rPr>
        <w:t xml:space="preserve">Artículo 1°.- Objeto. </w:t>
      </w:r>
      <w:r>
        <w:rPr>
          <w:rFonts w:ascii="Arial" w:hAnsi="Arial"/>
          <w:color w:val="000000"/>
          <w:sz w:val="24"/>
        </w:rPr>
        <w:t>La presente ley tiene por objeto modernizar el régimen de los partidos políticos provinciales y municipales mediante procedimientos digitales, seguros, auditables y accesibles para la afiliación, desafiliación, adhesión, presentación documental, consulta ciudadana y control registral de la situación partidaria de las personas electoras en la Provincia de Entre Ríos.</w:t>
      </w:r>
    </w:p>
    <w:p>
      <w:pPr>
        <w:widowControl/>
        <w:spacing w:before="0" w:after="120" w:line="360" w:lineRule="auto"/>
        <w:jc w:val="both"/>
      </w:pPr>
      <w:r>
        <w:rPr>
          <w:rFonts w:ascii="Arial" w:hAnsi="Arial"/>
          <w:b/>
          <w:color w:val="000000"/>
          <w:sz w:val="24"/>
        </w:rPr>
        <w:t xml:space="preserve">Artículo 2°.- Ámbito de aplicación. </w:t>
      </w:r>
      <w:r>
        <w:rPr>
          <w:rFonts w:ascii="Arial" w:hAnsi="Arial"/>
          <w:color w:val="000000"/>
          <w:sz w:val="24"/>
        </w:rPr>
        <w:t>La presente ley será aplicable a los partidos políticos provinciales y municipales, reconocidos o en formación, comprendidos en la Ley N° 5.170 y sus modificatorias. Respecto de los partidos políticos nacionales o de distrito, su aplicación quedará sujeta a la competencia de la Justicia Nacional Electoral y a los convenios de cooperación e interoperabilidad que se celebren.</w:t>
      </w:r>
    </w:p>
    <w:p>
      <w:pPr>
        <w:widowControl/>
        <w:spacing w:before="0" w:after="120" w:line="360" w:lineRule="auto"/>
        <w:jc w:val="both"/>
      </w:pPr>
      <w:r>
        <w:rPr>
          <w:rFonts w:ascii="Arial" w:hAnsi="Arial"/>
          <w:b/>
          <w:color w:val="000000"/>
          <w:sz w:val="24"/>
        </w:rPr>
        <w:t xml:space="preserve">Artículo 3°.- Principios rectores. </w:t>
      </w:r>
      <w:r>
        <w:rPr>
          <w:rFonts w:ascii="Arial" w:hAnsi="Arial"/>
          <w:color w:val="000000"/>
          <w:sz w:val="24"/>
        </w:rPr>
        <w:t>La interpretación y aplicación de esta ley se regirá por los principios de participación política, libertad de asociación, consentimiento informado, transparencia, igualdad, simplificación administrativa, accesibilidad, neutralidad tecnológica, trazabilidad, protección de datos personales, seguridad de la información, interoperabilidad y despapelización progresiva.</w:t>
      </w:r>
    </w:p>
    <w:p>
      <w:pPr>
        <w:widowControl/>
        <w:spacing w:before="0" w:after="120" w:line="360" w:lineRule="auto"/>
        <w:jc w:val="both"/>
      </w:pPr>
      <w:r>
        <w:rPr>
          <w:rFonts w:ascii="Arial" w:hAnsi="Arial"/>
          <w:b/>
          <w:color w:val="000000"/>
          <w:sz w:val="24"/>
        </w:rPr>
        <w:t xml:space="preserve">Artículo 4°.- Autoridad de aplicación. </w:t>
      </w:r>
      <w:r>
        <w:rPr>
          <w:rFonts w:ascii="Arial" w:hAnsi="Arial"/>
          <w:color w:val="000000"/>
          <w:sz w:val="24"/>
        </w:rPr>
        <w:t>El Tribunal Electoral de la Provincia de Entre Ríos será la autoridad de aplicación, sin perjuicio de las competencias que correspondan a la Justicia Nacional Electoral y de la coordinación con el Registro Nacional de las Personas y los organismos provinciales competentes en identidad digital, modernización administrativa, ciberseguridad y protección de datos personales.</w:t>
      </w:r>
    </w:p>
    <w:p>
      <w:pPr>
        <w:pStyle w:val="Ttulo1"/>
        <w:keepNext/>
      </w:pPr>
      <w:r>
        <w:t>CAPÍTULO II</w:t>
      </w:r>
    </w:p>
    <w:p>
      <w:pPr>
        <w:pStyle w:val="Ttulo2"/>
        <w:keepNext/>
      </w:pPr>
      <w:r>
        <w:t>SISTEMA PROVINCIAL DE PARTICIPACIÓN POLÍTICA DIGITAL</w:t>
      </w:r>
    </w:p>
    <w:p>
      <w:pPr>
        <w:widowControl/>
        <w:spacing w:before="0" w:after="120" w:line="360" w:lineRule="auto"/>
        <w:jc w:val="both"/>
      </w:pPr>
      <w:r>
        <w:rPr>
          <w:rFonts w:ascii="Arial" w:hAnsi="Arial"/>
          <w:b/>
          <w:color w:val="000000"/>
          <w:sz w:val="24"/>
        </w:rPr>
        <w:t xml:space="preserve">Artículo 5°.- Creación e integración con Mi Entre Ríos. </w:t>
      </w:r>
      <w:r>
        <w:rPr>
          <w:rFonts w:ascii="Arial" w:hAnsi="Arial"/>
          <w:color w:val="000000"/>
          <w:sz w:val="24"/>
        </w:rPr>
        <w:t>Créase el Sistema Provincial de Participación Política Digital, bajo administración funcional del Tribunal Electoral de la Provincia, para la recepción, validación, registración, consulta, trazabilidad y archivo de los actos regulados por esta ley. El sistema deberá implementarse como un módulo o servicio integrado a la plataforma digital "Mi Entre Ríos", portal único oficial de trámites y servicios digitales de la Provincia creado por Decreto N° 2638/25, sin perjuicio de los canales propios que habilite el Tribunal Electoral.</w:t>
      </w:r>
    </w:p>
    <w:p>
      <w:pPr>
        <w:widowControl/>
        <w:spacing w:before="0" w:after="120" w:line="360" w:lineRule="auto"/>
        <w:jc w:val="both"/>
      </w:pPr>
      <w:r>
        <w:rPr>
          <w:rFonts w:ascii="Arial" w:hAnsi="Arial"/>
          <w:b/>
          <w:color w:val="000000"/>
          <w:sz w:val="24"/>
        </w:rPr>
        <w:t xml:space="preserve">Artículo 6°.- Funcionalidades mínimas. </w:t>
      </w:r>
      <w:r>
        <w:rPr>
          <w:rFonts w:ascii="Arial" w:hAnsi="Arial"/>
          <w:color w:val="000000"/>
          <w:sz w:val="24"/>
        </w:rPr>
        <w:t>El sistema deberá permitir, a través de la aplicación y del portal web Mi Entre Ríos: a) la afiliación y desafiliación digital; b) la presentación de adhesiones y avales cuando corresponda; c) la consulta individual de la situación partidaria; d) la emisión de constancias electrónicas verificables; e) la notificación de altas, bajas, observaciones y modificaciones; f) la presentación digital de documentación partidaria; g) el seguimiento del estado de cada trámite; h) el registro de auditoría de cada operación; e i) la interoperabilidad con otros registros públicos, dentro de las respectivas competencias y con resguardo de los datos personales.</w:t>
      </w:r>
    </w:p>
    <w:p>
      <w:pPr>
        <w:widowControl/>
        <w:spacing w:before="0" w:after="120" w:line="360" w:lineRule="auto"/>
        <w:jc w:val="both"/>
      </w:pPr>
      <w:r>
        <w:rPr>
          <w:rFonts w:ascii="Arial" w:hAnsi="Arial"/>
          <w:b/>
          <w:color w:val="000000"/>
          <w:sz w:val="24"/>
        </w:rPr>
        <w:t xml:space="preserve">Artículo 7°.- Acceso y gratuidad. </w:t>
      </w:r>
      <w:r>
        <w:rPr>
          <w:rFonts w:ascii="Arial" w:hAnsi="Arial"/>
          <w:color w:val="000000"/>
          <w:sz w:val="24"/>
        </w:rPr>
        <w:t>El acceso de las personas a las funciones de consulta, afiliación, desafiliación, rectificación y emisión de constancias será gratuito. La reglamentación deberá asegurar un diseño accesible, comprensible y compatible con dispositivos de uso extendido.</w:t>
      </w:r>
    </w:p>
    <w:p>
      <w:pPr>
        <w:pStyle w:val="Ttulo1"/>
        <w:keepNext/>
      </w:pPr>
      <w:r>
        <w:t>CAPÍTULO III</w:t>
      </w:r>
    </w:p>
    <w:p>
      <w:pPr>
        <w:pStyle w:val="Ttulo2"/>
        <w:keepNext/>
      </w:pPr>
      <w:r>
        <w:t>CONSULTA Y CONTROL DE LA IDENTIDAD POLÍTICA</w:t>
      </w:r>
    </w:p>
    <w:p>
      <w:pPr>
        <w:widowControl/>
        <w:spacing w:before="0" w:after="120" w:line="360" w:lineRule="auto"/>
        <w:jc w:val="both"/>
      </w:pPr>
      <w:r>
        <w:rPr>
          <w:rFonts w:ascii="Arial" w:hAnsi="Arial"/>
          <w:b/>
          <w:color w:val="000000"/>
          <w:sz w:val="24"/>
        </w:rPr>
        <w:t xml:space="preserve">Artículo 8°.- Derecho de consulta. </w:t>
      </w:r>
      <w:r>
        <w:rPr>
          <w:rFonts w:ascii="Arial" w:hAnsi="Arial"/>
          <w:color w:val="000000"/>
          <w:sz w:val="24"/>
        </w:rPr>
        <w:t>Toda persona incorporada al padrón electoral de la Provincia tendrá derecho a consultar, en forma permanente, segura y gratuita, su situación individual de afiliación partidaria registrada en el ámbito provincial.</w:t>
      </w:r>
    </w:p>
    <w:p>
      <w:pPr>
        <w:widowControl/>
        <w:spacing w:before="0" w:after="120" w:line="360" w:lineRule="auto"/>
        <w:jc w:val="both"/>
      </w:pPr>
      <w:r>
        <w:rPr>
          <w:rFonts w:ascii="Arial" w:hAnsi="Arial"/>
          <w:b/>
          <w:color w:val="000000"/>
          <w:sz w:val="24"/>
        </w:rPr>
        <w:t xml:space="preserve">Artículo 9°.- Contenido de la consulta. </w:t>
      </w:r>
      <w:r>
        <w:rPr>
          <w:rFonts w:ascii="Arial" w:hAnsi="Arial"/>
          <w:color w:val="000000"/>
          <w:sz w:val="24"/>
        </w:rPr>
        <w:t>La consulta deberá informar, como mínimo: a) la existencia o inexistencia de afiliación vigente; b) el partido político correspondiente; c) la fecha de alta, baja o modificación, cuando conste; d) el estado de los trámites pendientes; y e) los mecanismos de rectificación, supresión, revisión o desafiliación disponibles.</w:t>
      </w:r>
    </w:p>
    <w:p>
      <w:pPr>
        <w:widowControl/>
        <w:spacing w:before="0" w:after="120" w:line="360" w:lineRule="auto"/>
        <w:jc w:val="both"/>
      </w:pPr>
      <w:r>
        <w:rPr>
          <w:rFonts w:ascii="Arial" w:hAnsi="Arial"/>
          <w:b/>
          <w:color w:val="000000"/>
          <w:sz w:val="24"/>
        </w:rPr>
        <w:t xml:space="preserve">Artículo 10°.- Confidencialidad. </w:t>
      </w:r>
      <w:r>
        <w:rPr>
          <w:rFonts w:ascii="Arial" w:hAnsi="Arial"/>
          <w:color w:val="000000"/>
          <w:sz w:val="24"/>
        </w:rPr>
        <w:t>La información individual de afiliación política sólo será accesible para su titular, previa validación fehaciente de identidad, y para las autoridades legalmente habilitadas en el marco de sus competencias. Queda prohibida su publicación nominal, cesión o utilización para fines incompatibles con los que justificaron su tratamiento.</w:t>
      </w:r>
    </w:p>
    <w:p>
      <w:pPr>
        <w:widowControl/>
        <w:spacing w:before="0" w:after="120" w:line="360" w:lineRule="auto"/>
        <w:jc w:val="both"/>
      </w:pPr>
      <w:r>
        <w:rPr>
          <w:rFonts w:ascii="Arial" w:hAnsi="Arial"/>
          <w:b/>
          <w:color w:val="000000"/>
          <w:sz w:val="24"/>
        </w:rPr>
        <w:t xml:space="preserve">Artículo 11°.- Notificación. </w:t>
      </w:r>
      <w:r>
        <w:rPr>
          <w:rFonts w:ascii="Arial" w:hAnsi="Arial"/>
          <w:color w:val="000000"/>
          <w:sz w:val="24"/>
        </w:rPr>
        <w:t>Toda alta, baja, observación, rectificación o modificación registral deberá ser notificada a la persona titular por un medio fehaciente. La notificación deberá identificar el acto, su fecha, el partido involucrado, el canal para formular observaciones y el modo de obtener la constancia correspondiente.</w:t>
      </w:r>
    </w:p>
    <w:p>
      <w:pPr>
        <w:pStyle w:val="Ttulo1"/>
        <w:keepNext/>
      </w:pPr>
      <w:r>
        <w:t>CAPÍTULO IV</w:t>
      </w:r>
    </w:p>
    <w:p>
      <w:pPr>
        <w:pStyle w:val="Ttulo2"/>
        <w:keepNext/>
      </w:pPr>
      <w:r>
        <w:t>AFILIACIÓN, DESAFILIACIÓN Y RECTIFICACIÓN DIGITAL</w:t>
      </w:r>
    </w:p>
    <w:p>
      <w:pPr>
        <w:widowControl/>
        <w:spacing w:before="0" w:after="120" w:line="360" w:lineRule="auto"/>
        <w:jc w:val="both"/>
      </w:pPr>
      <w:r>
        <w:rPr>
          <w:rFonts w:ascii="Arial" w:hAnsi="Arial"/>
          <w:b/>
          <w:color w:val="000000"/>
          <w:sz w:val="24"/>
        </w:rPr>
        <w:t xml:space="preserve">Artículo 12°.- Afiliación digital. </w:t>
      </w:r>
      <w:r>
        <w:rPr>
          <w:rFonts w:ascii="Arial" w:hAnsi="Arial"/>
          <w:color w:val="000000"/>
          <w:sz w:val="24"/>
        </w:rPr>
        <w:t>La solicitud de afiliación podrá realizarse por medios digitales con igual validez jurídica que la instrumentada en soporte físico, siempre que se aseguren la identidad de la persona, su manifestación expresa de voluntad, la integridad del trámite, la fecha cierta y la trazabilidad de la operación.</w:t>
      </w:r>
    </w:p>
    <w:p>
      <w:pPr>
        <w:widowControl/>
        <w:spacing w:before="0" w:after="120" w:line="360" w:lineRule="auto"/>
        <w:jc w:val="both"/>
      </w:pPr>
      <w:r>
        <w:rPr>
          <w:rFonts w:ascii="Arial" w:hAnsi="Arial"/>
          <w:b/>
          <w:color w:val="000000"/>
          <w:sz w:val="24"/>
        </w:rPr>
        <w:t xml:space="preserve">Artículo 13°.- Validación de identidad y voluntad. </w:t>
      </w:r>
      <w:r>
        <w:rPr>
          <w:rFonts w:ascii="Arial" w:hAnsi="Arial"/>
          <w:color w:val="000000"/>
          <w:sz w:val="24"/>
        </w:rPr>
        <w:t>La identidad y la voluntad podrán acreditarse mediante los mecanismos de autenticación e identidad digital disponibles en Mi Entre Ríos, con el nivel de validación adecuado a la sensibilidad del acto; firma digital; validación biométrica con prueba de vida; comparecencia presencial asistida con captura digital; u otro mecanismo seguro aprobado por reglamentación fundada. Podrán utilizarse proveedores oficiales de identidad interoperables con Mi Entre Ríos. La firma electrónica sólo será admitida cuando el procedimiento permita acreditar razonablemente su autoría e integridad.</w:t>
      </w:r>
    </w:p>
    <w:p>
      <w:pPr>
        <w:widowControl/>
        <w:spacing w:before="0" w:after="120" w:line="360" w:lineRule="auto"/>
        <w:jc w:val="both"/>
      </w:pPr>
      <w:r>
        <w:rPr>
          <w:rFonts w:ascii="Arial" w:hAnsi="Arial"/>
          <w:b/>
          <w:color w:val="000000"/>
          <w:sz w:val="24"/>
        </w:rPr>
        <w:t xml:space="preserve">Artículo 14°.- Consentimiento y prevención del fraude. </w:t>
      </w:r>
      <w:r>
        <w:rPr>
          <w:rFonts w:ascii="Arial" w:hAnsi="Arial"/>
          <w:color w:val="000000"/>
          <w:sz w:val="24"/>
        </w:rPr>
        <w:t>Ninguna persona podrá ser afiliada, reafiliada o incorporada a un registro partidario sin una manifestación de voluntad previa, expresa, informada y verificable. El sistema deberá impedir duplicidades, conservar evidencia de la operación y habilitar un canal inmediato para denunciar afiliaciones apócrifas, erróneas o no consentidas.</w:t>
      </w:r>
    </w:p>
    <w:p>
      <w:pPr>
        <w:widowControl/>
        <w:spacing w:before="0" w:after="120" w:line="360" w:lineRule="auto"/>
        <w:jc w:val="both"/>
      </w:pPr>
      <w:r>
        <w:rPr>
          <w:rFonts w:ascii="Arial" w:hAnsi="Arial"/>
          <w:b/>
          <w:color w:val="000000"/>
          <w:sz w:val="24"/>
        </w:rPr>
        <w:t xml:space="preserve">Artículo 15°.- Intervención partidaria. </w:t>
      </w:r>
      <w:r>
        <w:rPr>
          <w:rFonts w:ascii="Arial" w:hAnsi="Arial"/>
          <w:color w:val="000000"/>
          <w:sz w:val="24"/>
        </w:rPr>
        <w:t>La solicitud digital será puesta a disposición del partido correspondiente para su tratamiento conforme a la Ley N° 5.170 y a su carta orgánica. El transcurso de los plazos legales, la decisión adoptada y toda observación deberán quedar registrados y ser notificados a la persona solicitante.</w:t>
      </w:r>
    </w:p>
    <w:p>
      <w:pPr>
        <w:widowControl/>
        <w:spacing w:before="0" w:after="120" w:line="360" w:lineRule="auto"/>
        <w:jc w:val="both"/>
      </w:pPr>
      <w:r>
        <w:rPr>
          <w:rFonts w:ascii="Arial" w:hAnsi="Arial"/>
          <w:b/>
          <w:color w:val="000000"/>
          <w:sz w:val="24"/>
        </w:rPr>
        <w:t xml:space="preserve">Artículo 16°.- Constancia electrónica. </w:t>
      </w:r>
      <w:r>
        <w:rPr>
          <w:rFonts w:ascii="Arial" w:hAnsi="Arial"/>
          <w:color w:val="000000"/>
          <w:sz w:val="24"/>
        </w:rPr>
        <w:t>Toda afiliación aceptada generará una constancia electrónica verificable que indicará, como mínimo, fecha, hora, partido político, estado del trámite, modalidad de validación y código de verificación, sin exponer datos personales innecesarios.</w:t>
      </w:r>
    </w:p>
    <w:p>
      <w:pPr>
        <w:widowControl/>
        <w:spacing w:before="0" w:after="120" w:line="360" w:lineRule="auto"/>
        <w:jc w:val="both"/>
      </w:pPr>
      <w:r>
        <w:rPr>
          <w:rFonts w:ascii="Arial" w:hAnsi="Arial"/>
          <w:b/>
          <w:color w:val="000000"/>
          <w:sz w:val="24"/>
        </w:rPr>
        <w:t xml:space="preserve">Artículo 17°.- Desafiliación digital. </w:t>
      </w:r>
      <w:r>
        <w:rPr>
          <w:rFonts w:ascii="Arial" w:hAnsi="Arial"/>
          <w:color w:val="000000"/>
          <w:sz w:val="24"/>
        </w:rPr>
        <w:t>Toda persona afiliada tendrá derecho a presentar su renuncia o desafiliación por medios digitales o mediante atención presencial asistida. La presentación ante el Tribunal Electoral tendrá fecha cierta, generará constancia inmediata y será comunicada al partido. Sus efectos se regirán por la Ley N° 5.170, sin que la falta de respuesta partidaria pueda impedir la eficacia prevista legalmente.</w:t>
      </w:r>
    </w:p>
    <w:p>
      <w:pPr>
        <w:widowControl/>
        <w:spacing w:before="0" w:after="120" w:line="360" w:lineRule="auto"/>
        <w:jc w:val="both"/>
      </w:pPr>
      <w:r>
        <w:rPr>
          <w:rFonts w:ascii="Arial" w:hAnsi="Arial"/>
          <w:b/>
          <w:color w:val="000000"/>
          <w:sz w:val="24"/>
        </w:rPr>
        <w:t xml:space="preserve">Artículo 18°.- Rectificación y supresión. </w:t>
      </w:r>
      <w:r>
        <w:rPr>
          <w:rFonts w:ascii="Arial" w:hAnsi="Arial"/>
          <w:color w:val="000000"/>
          <w:sz w:val="24"/>
        </w:rPr>
        <w:t>La persona titular podrá solicitar la rectificación, actualización, supresión o revisión de su información partidaria. El Tribunal Electoral establecerá un procedimiento breve, gratuito, accesible y trazable, con decisión fundada y notificación al interesado y al partido cuando corresponda.</w:t>
      </w:r>
    </w:p>
    <w:p>
      <w:pPr>
        <w:pStyle w:val="Ttulo1"/>
        <w:keepNext/>
      </w:pPr>
      <w:r>
        <w:t>CAPÍTULO V</w:t>
      </w:r>
    </w:p>
    <w:p>
      <w:pPr>
        <w:pStyle w:val="Ttulo2"/>
        <w:keepNext/>
      </w:pPr>
      <w:r>
        <w:t>ADHESIONES, PRESENTACIONES Y REGISTROS</w:t>
      </w:r>
    </w:p>
    <w:p>
      <w:pPr>
        <w:widowControl/>
        <w:spacing w:before="0" w:after="120" w:line="360" w:lineRule="auto"/>
        <w:jc w:val="both"/>
      </w:pPr>
      <w:r>
        <w:rPr>
          <w:rFonts w:ascii="Arial" w:hAnsi="Arial"/>
          <w:b/>
          <w:color w:val="000000"/>
          <w:sz w:val="24"/>
        </w:rPr>
        <w:t xml:space="preserve">Artículo 19°.- Adhesiones y avales. </w:t>
      </w:r>
      <w:r>
        <w:rPr>
          <w:rFonts w:ascii="Arial" w:hAnsi="Arial"/>
          <w:color w:val="000000"/>
          <w:sz w:val="24"/>
        </w:rPr>
        <w:t>Las adhesiones exigidas para la constitución o reconocimiento de partidos y los avales previstos por la normativa electoral o partidaria podrán instrumentarse digitalmente cuando el sistema permita verificar identidad, voluntad, unicidad del apoyo, pertenencia al padrón aplicable, fecha cierta e incompatibilidades legales.</w:t>
      </w:r>
    </w:p>
    <w:p>
      <w:pPr>
        <w:widowControl/>
        <w:spacing w:before="0" w:after="120" w:line="360" w:lineRule="auto"/>
        <w:jc w:val="both"/>
      </w:pPr>
      <w:r>
        <w:rPr>
          <w:rFonts w:ascii="Arial" w:hAnsi="Arial"/>
          <w:b/>
          <w:color w:val="000000"/>
          <w:sz w:val="24"/>
        </w:rPr>
        <w:t xml:space="preserve">Artículo 20°.- Presentaciones partidarias. </w:t>
      </w:r>
      <w:r>
        <w:rPr>
          <w:rFonts w:ascii="Arial" w:hAnsi="Arial"/>
          <w:color w:val="000000"/>
          <w:sz w:val="24"/>
        </w:rPr>
        <w:t>Los partidos comprendidos en esta ley podrán presentar documentación, constituir domicilio electrónico, recibir observaciones y ser notificados por medios digitales ante el Tribunal Electoral, conforme a la reglamentación.</w:t>
      </w:r>
    </w:p>
    <w:p>
      <w:pPr>
        <w:widowControl/>
        <w:spacing w:before="0" w:after="120" w:line="360" w:lineRule="auto"/>
        <w:jc w:val="both"/>
      </w:pPr>
      <w:r>
        <w:rPr>
          <w:rFonts w:ascii="Arial" w:hAnsi="Arial"/>
          <w:b/>
          <w:color w:val="000000"/>
          <w:sz w:val="24"/>
        </w:rPr>
        <w:t xml:space="preserve">Artículo 21°.- Registro digital. </w:t>
      </w:r>
      <w:r>
        <w:rPr>
          <w:rFonts w:ascii="Arial" w:hAnsi="Arial"/>
          <w:color w:val="000000"/>
          <w:sz w:val="24"/>
        </w:rPr>
        <w:t>El Registro de Afiliados previsto por la Ley N° 5.170 deberá organizarse, conservarse y actualizarse progresivamente en soporte digital, con respaldos, controles de integridad, trazabilidad y reglas de conservación documental. Los registros históricos conservarán su validez y serán incorporados gradualmente al sistema.</w:t>
      </w:r>
    </w:p>
    <w:p>
      <w:pPr>
        <w:widowControl/>
        <w:spacing w:before="0" w:after="120" w:line="360" w:lineRule="auto"/>
        <w:jc w:val="both"/>
      </w:pPr>
      <w:r>
        <w:rPr>
          <w:rFonts w:ascii="Arial" w:hAnsi="Arial"/>
          <w:b/>
          <w:color w:val="000000"/>
          <w:sz w:val="24"/>
        </w:rPr>
        <w:t xml:space="preserve">Artículo 22°.- Cooperación e interoperabilidad. </w:t>
      </w:r>
      <w:r>
        <w:rPr>
          <w:rFonts w:ascii="Arial" w:hAnsi="Arial"/>
          <w:color w:val="000000"/>
          <w:sz w:val="24"/>
        </w:rPr>
        <w:t>El Tribunal Electoral coordinará con la autoridad de aplicación de Mi Entre Ríos la integración técnica del sistema, los niveles de autenticación, las notificaciones, la trazabilidad y la interoperabilidad, conservando sus competencias registrales y decisorias. Podrá celebrar convenios con organismos nacionales, provinciales y municipales, universidades públicas y entidades especializadas. Todo intercambio de datos deberá respetar los principios de finalidad, competencia, proporcionalidad, minimización y seguridad.</w:t>
      </w:r>
    </w:p>
    <w:p>
      <w:pPr>
        <w:pStyle w:val="Ttulo1"/>
        <w:keepNext/>
      </w:pPr>
      <w:r>
        <w:t>CAPÍTULO VI</w:t>
      </w:r>
    </w:p>
    <w:p>
      <w:pPr>
        <w:pStyle w:val="Ttulo2"/>
        <w:keepNext/>
      </w:pPr>
      <w:r>
        <w:t>INCLUSIÓN, SEGURIDAD Y TRANSPARENCIA</w:t>
      </w:r>
    </w:p>
    <w:p>
      <w:pPr>
        <w:widowControl/>
        <w:spacing w:before="0" w:after="120" w:line="360" w:lineRule="auto"/>
        <w:jc w:val="both"/>
      </w:pPr>
      <w:r>
        <w:rPr>
          <w:rFonts w:ascii="Arial" w:hAnsi="Arial"/>
          <w:b/>
          <w:color w:val="000000"/>
          <w:sz w:val="24"/>
        </w:rPr>
        <w:t xml:space="preserve">Artículo 23°.- Canales presenciales asistidos. </w:t>
      </w:r>
      <w:r>
        <w:rPr>
          <w:rFonts w:ascii="Arial" w:hAnsi="Arial"/>
          <w:color w:val="000000"/>
          <w:sz w:val="24"/>
        </w:rPr>
        <w:t>La digitalización no podrá constituir una barrera para el ejercicio de los derechos políticos. La autoridad de aplicación deberá habilitar canales presenciales asistidos y soluciones de accesibilidad para quienes carezcan de conectividad, dispositivos, conocimientos tecnológicos suficientes o requieran apoyos específicos.</w:t>
      </w:r>
    </w:p>
    <w:p>
      <w:pPr>
        <w:widowControl/>
        <w:spacing w:before="0" w:after="120" w:line="360" w:lineRule="auto"/>
        <w:jc w:val="both"/>
      </w:pPr>
      <w:r>
        <w:rPr>
          <w:rFonts w:ascii="Arial" w:hAnsi="Arial"/>
          <w:b/>
          <w:color w:val="000000"/>
          <w:sz w:val="24"/>
        </w:rPr>
        <w:t xml:space="preserve">Artículo 24°.- Contingencias. </w:t>
      </w:r>
      <w:r>
        <w:rPr>
          <w:rFonts w:ascii="Arial" w:hAnsi="Arial"/>
          <w:color w:val="000000"/>
          <w:sz w:val="24"/>
        </w:rPr>
        <w:t>La reglamentación establecerá procedimientos para caídas de sistemas, falta de conectividad, incidentes de seguridad, emergencias y otras imposibilidades técnicas, garantizando la posterior incorporación del trámite al registro digital con fecha cierta y trazabilidad.</w:t>
      </w:r>
    </w:p>
    <w:p>
      <w:pPr>
        <w:widowControl/>
        <w:spacing w:before="0" w:after="120" w:line="360" w:lineRule="auto"/>
        <w:jc w:val="both"/>
      </w:pPr>
      <w:r>
        <w:rPr>
          <w:rFonts w:ascii="Arial" w:hAnsi="Arial"/>
          <w:b/>
          <w:color w:val="000000"/>
          <w:sz w:val="24"/>
        </w:rPr>
        <w:t xml:space="preserve">Artículo 25°.- Seguridad y auditoría. </w:t>
      </w:r>
      <w:r>
        <w:rPr>
          <w:rFonts w:ascii="Arial" w:hAnsi="Arial"/>
          <w:color w:val="000000"/>
          <w:sz w:val="24"/>
        </w:rPr>
        <w:t>El sistema deberá contar con medidas técnicas y organizativas adecuadas para proteger la confidencialidad, integridad, disponibilidad y autenticidad de la información; registros inalterables de auditoría; gestión de incidentes; copias de respaldo; control de accesos; evaluaciones periódicas de seguridad; y mecanismos independientes de fiscalización.</w:t>
      </w:r>
    </w:p>
    <w:p>
      <w:pPr>
        <w:widowControl/>
        <w:spacing w:before="0" w:after="120" w:line="360" w:lineRule="auto"/>
        <w:jc w:val="both"/>
      </w:pPr>
      <w:r>
        <w:rPr>
          <w:rFonts w:ascii="Arial" w:hAnsi="Arial"/>
          <w:b/>
          <w:color w:val="000000"/>
          <w:sz w:val="24"/>
        </w:rPr>
        <w:t xml:space="preserve">Artículo 26°.- Estadísticas públicas. </w:t>
      </w:r>
      <w:r>
        <w:rPr>
          <w:rFonts w:ascii="Arial" w:hAnsi="Arial"/>
          <w:color w:val="000000"/>
          <w:sz w:val="24"/>
        </w:rPr>
        <w:t>La autoridad de aplicación publicará periódicamente estadísticas agregadas y no identificables sobre trámites, tiempos de resolución, observaciones, afiliaciones y desafiliaciones, sin revelar datos personales ni permitir la identificación de la pertenencia política individual.</w:t>
      </w:r>
    </w:p>
    <w:p>
      <w:pPr>
        <w:pStyle w:val="Ttulo1"/>
        <w:keepNext/>
      </w:pPr>
      <w:r>
        <w:t>CAPÍTULO VII</w:t>
      </w:r>
    </w:p>
    <w:p>
      <w:pPr>
        <w:pStyle w:val="Ttulo2"/>
        <w:keepNext/>
      </w:pPr>
      <w:r>
        <w:t>ADECUACIÓN NORMATIVA E IMPLEMENTACIÓN</w:t>
      </w:r>
    </w:p>
    <w:p>
      <w:pPr>
        <w:widowControl/>
        <w:spacing w:before="0" w:after="120" w:line="360" w:lineRule="auto"/>
        <w:jc w:val="both"/>
      </w:pPr>
      <w:r>
        <w:rPr>
          <w:rFonts w:ascii="Arial" w:hAnsi="Arial"/>
          <w:b/>
          <w:color w:val="000000"/>
          <w:sz w:val="24"/>
        </w:rPr>
        <w:t xml:space="preserve">Artículo 27°.- Incorporación a la Ley N° 5.170. </w:t>
      </w:r>
      <w:r>
        <w:rPr>
          <w:rFonts w:ascii="Arial" w:hAnsi="Arial"/>
          <w:color w:val="000000"/>
          <w:sz w:val="24"/>
        </w:rPr>
        <w:t>Incorpórase como artículo 20 bis de la Ley N° 5.170 y sus modificatorias el siguiente texto: "Artículo 20 bis.- La solicitud de afiliación podrá instrumentarse en soporte digital, con igual validez jurídica que el soporte físico, cuando se aseguren identidad, voluntad expresa, integridad, fecha cierta, trazabilidad y protección de datos personales, conforme a la reglamentación del Tribunal Electoral de la Provincia."</w:t>
      </w:r>
    </w:p>
    <w:p>
      <w:pPr>
        <w:widowControl/>
        <w:spacing w:before="0" w:after="120" w:line="360" w:lineRule="auto"/>
        <w:jc w:val="both"/>
      </w:pPr>
      <w:r>
        <w:rPr>
          <w:rFonts w:ascii="Arial" w:hAnsi="Arial"/>
          <w:b/>
          <w:color w:val="000000"/>
          <w:sz w:val="24"/>
        </w:rPr>
        <w:t xml:space="preserve">Artículo 28°.- Consulta y desafiliación. </w:t>
      </w:r>
      <w:r>
        <w:rPr>
          <w:rFonts w:ascii="Arial" w:hAnsi="Arial"/>
          <w:color w:val="000000"/>
          <w:sz w:val="24"/>
        </w:rPr>
        <w:t>Incorpórase como artículo 23 bis de la Ley N° 5.170 y sus modificatorias el siguiente texto: "Artículo 23 bis.- Toda persona electora tendrá derecho a consultar gratuitamente su situación individual de afiliación partidaria y a solicitar su rectificación, actualización, supresión, revisión o desafiliación mediante procedimientos digitales y canales presenciales asistidos que garanticen identidad, accesibilidad, confidencialidad, constancia y respuesta oportuna."</w:t>
      </w:r>
    </w:p>
    <w:p>
      <w:pPr>
        <w:widowControl/>
        <w:spacing w:before="0" w:after="120" w:line="360" w:lineRule="auto"/>
        <w:jc w:val="both"/>
      </w:pPr>
      <w:r>
        <w:rPr>
          <w:rFonts w:ascii="Arial" w:hAnsi="Arial"/>
          <w:b/>
          <w:color w:val="000000"/>
          <w:sz w:val="24"/>
        </w:rPr>
        <w:t xml:space="preserve">Artículo 29°.- Armonización. </w:t>
      </w:r>
      <w:r>
        <w:rPr>
          <w:rFonts w:ascii="Arial" w:hAnsi="Arial"/>
          <w:color w:val="000000"/>
          <w:sz w:val="24"/>
        </w:rPr>
        <w:t>La presente ley se integrará con la Ley N° 5.170, el Código Electoral de la Provincia de Entre Ríos -Ley N° 11.190-, las Leyes Provinciales Nros. 10.898 y 10.425, el Decreto N° 2638/25, la legislación nacional sobre partidos políticos, firma digital y protección de datos personales, y las normas que en el futuro las sustituyan o modifiquen.</w:t>
      </w:r>
    </w:p>
    <w:p>
      <w:pPr>
        <w:widowControl/>
        <w:spacing w:before="0" w:after="120" w:line="360" w:lineRule="auto"/>
        <w:jc w:val="both"/>
      </w:pPr>
      <w:r>
        <w:rPr>
          <w:rFonts w:ascii="Arial" w:hAnsi="Arial"/>
          <w:b/>
          <w:color w:val="000000"/>
          <w:sz w:val="24"/>
        </w:rPr>
        <w:t xml:space="preserve">Artículo 30°.- Reglamentación. </w:t>
      </w:r>
      <w:r>
        <w:rPr>
          <w:rFonts w:ascii="Arial" w:hAnsi="Arial"/>
          <w:color w:val="000000"/>
          <w:sz w:val="24"/>
        </w:rPr>
        <w:t>El Tribunal Electoral de la Provincia reglamentará la presente ley dentro de los ciento ochenta (180) días de su promulgación. Para los aspectos tecnológicos vinculados con Mi Entre Ríos actuará en coordinación con la Secretaría de Modernización o el organismo que en el futuro la sustituya. La reglamentación aprobará un cronograma público, estándares técnicos, niveles de validación, canales asistidos, reglas de interoperabilidad, procedimientos de contingencia y medidas de protección de datos.</w:t>
      </w:r>
    </w:p>
    <w:p>
      <w:pPr>
        <w:widowControl/>
        <w:spacing w:before="0" w:after="120" w:line="360" w:lineRule="auto"/>
        <w:jc w:val="both"/>
      </w:pPr>
      <w:r>
        <w:rPr>
          <w:rFonts w:ascii="Arial" w:hAnsi="Arial"/>
          <w:b/>
          <w:color w:val="000000"/>
          <w:sz w:val="24"/>
        </w:rPr>
        <w:t xml:space="preserve">Artículo 31°.- Implementación progresiva. </w:t>
      </w:r>
      <w:r>
        <w:rPr>
          <w:rFonts w:ascii="Arial" w:hAnsi="Arial"/>
          <w:color w:val="000000"/>
          <w:sz w:val="24"/>
        </w:rPr>
        <w:t>La implementación será progresiva. Dentro de los veinticuatro (24) meses de aprobada la reglamentación deberán encontrarse disponibles en Mi Entre Ríos, como mínimo, la consulta individual, la afiliación, la desafiliación, la rectificación, el seguimiento del trámite y la emisión de constancias. Durante la transición subsistirán los canales físicos y presenciales legalmente vigentes.</w:t>
      </w:r>
    </w:p>
    <w:p>
      <w:pPr>
        <w:widowControl/>
        <w:spacing w:before="0" w:after="120" w:line="360" w:lineRule="auto"/>
        <w:jc w:val="both"/>
      </w:pPr>
      <w:r>
        <w:rPr>
          <w:rFonts w:ascii="Arial" w:hAnsi="Arial"/>
          <w:b/>
          <w:color w:val="000000"/>
          <w:sz w:val="24"/>
        </w:rPr>
        <w:t xml:space="preserve">Artículo 32°.- Recursos. </w:t>
      </w:r>
      <w:r>
        <w:rPr>
          <w:rFonts w:ascii="Arial" w:hAnsi="Arial"/>
          <w:color w:val="000000"/>
          <w:sz w:val="24"/>
        </w:rPr>
        <w:t>Los gastos que demande el cumplimiento de la presente ley serán atendidos con las partidas asignadas a la autoridad de aplicación, pudiendo incorporarse recursos provenientes de convenios de cooperación y asistencia técnica, sin afectar la gratuidad de los trámites para la ciudadanía.</w:t>
      </w:r>
    </w:p>
    <w:p>
      <w:pPr>
        <w:widowControl/>
        <w:spacing w:before="0" w:after="120" w:line="360" w:lineRule="auto"/>
        <w:jc w:val="both"/>
      </w:pPr>
      <w:r>
        <w:rPr>
          <w:rFonts w:ascii="Arial" w:hAnsi="Arial"/>
          <w:b/>
          <w:color w:val="000000"/>
          <w:sz w:val="24"/>
        </w:rPr>
        <w:t xml:space="preserve">Artículo 33°.- Vigencia. </w:t>
      </w:r>
      <w:r>
        <w:rPr>
          <w:rFonts w:ascii="Arial" w:hAnsi="Arial"/>
          <w:color w:val="000000"/>
          <w:sz w:val="24"/>
        </w:rPr>
        <w:t>La presente ley entrará en vigencia a partir de su publicación en el Boletín Oficial.</w:t>
      </w:r>
    </w:p>
    <w:p>
      <w:pPr>
        <w:widowControl/>
        <w:spacing w:before="0" w:after="120" w:line="360" w:lineRule="auto"/>
        <w:jc w:val="both"/>
      </w:pPr>
      <w:r>
        <w:rPr>
          <w:rFonts w:ascii="Arial" w:hAnsi="Arial"/>
          <w:b/>
          <w:color w:val="000000"/>
          <w:sz w:val="24"/>
        </w:rPr>
        <w:t xml:space="preserve">Artículo 34°.- </w:t>
      </w:r>
      <w:r>
        <w:rPr>
          <w:rFonts w:ascii="Arial" w:hAnsi="Arial"/>
          <w:color w:val="000000"/>
          <w:sz w:val="24"/>
        </w:rPr>
        <w:t>Comuníquese al Poder Ejecutivo.</w:t>
      </w:r>
    </w:p>
    <w:p>
      <w:r>
        <w:br w:type="page"/>
      </w:r>
    </w:p>
    <w:p>
      <w:pPr>
        <w:keepNext/>
        <w:spacing w:before="0" w:after="180" w:line="360" w:lineRule="auto"/>
        <w:jc w:val="center"/>
      </w:pPr>
      <w:r>
        <w:rPr>
          <w:rFonts w:ascii="Arial" w:hAnsi="Arial"/>
          <w:b/>
          <w:i w:val="0"/>
          <w:color w:val="000000"/>
          <w:sz w:val="24"/>
        </w:rPr>
        <w:t>FUNDAMENTOS</w:t>
      </w:r>
    </w:p>
    <w:p>
      <w:pPr>
        <w:keepNext w:val="0"/>
        <w:spacing w:before="0" w:after="120" w:line="360" w:lineRule="auto"/>
        <w:jc w:val="left"/>
      </w:pPr>
      <w:r>
        <w:rPr>
          <w:rFonts w:ascii="Arial" w:hAnsi="Arial"/>
          <w:b w:val="0"/>
          <w:i w:val="0"/>
          <w:color w:val="000000"/>
          <w:sz w:val="24"/>
        </w:rPr>
        <w:t>Señora Presidenta:</w:t>
      </w:r>
    </w:p>
    <w:p>
      <w:pPr>
        <w:keepNext w:val="0"/>
        <w:spacing w:before="0" w:after="120" w:line="360" w:lineRule="auto"/>
        <w:jc w:val="both"/>
      </w:pPr>
      <w:r>
        <w:rPr>
          <w:rFonts w:ascii="Arial" w:hAnsi="Arial"/>
          <w:b w:val="0"/>
          <w:i w:val="0"/>
          <w:color w:val="000000"/>
          <w:sz w:val="24"/>
        </w:rPr>
        <w:t>El presente proyecto propone que la afiliación y la desafiliación a los partidos políticos provinciales y municipales puedan realizarse por medios digitales seguros, auditables y accesibles. Su finalidad es sencilla: que cada entrerriano pueda saber si figura afiliado, decidir libremente su pertenencia política y corregir un registro indebido sin depender de trámites lentos, opacos o exclusivamente presenciales.</w:t>
      </w:r>
    </w:p>
    <w:p>
      <w:pPr>
        <w:keepNext w:val="0"/>
        <w:spacing w:before="0" w:after="120" w:line="360" w:lineRule="auto"/>
        <w:jc w:val="both"/>
      </w:pPr>
      <w:r>
        <w:rPr>
          <w:rFonts w:ascii="Arial" w:hAnsi="Arial"/>
          <w:b w:val="0"/>
          <w:i w:val="0"/>
          <w:color w:val="000000"/>
          <w:sz w:val="24"/>
        </w:rPr>
        <w:t>La participación política no se agota en el voto. Comprende también la libertad de asociarse, de permanecer en una organización y de dejar de integrarla. La identidad política, además, revela convicciones personales y exige una protección reforzada. Por eso el proyecto combina facilidad de acceso con consentimiento expreso, confidencialidad, trazabilidad, notificación y control de la persona titular.</w:t>
      </w:r>
    </w:p>
    <w:p>
      <w:pPr>
        <w:keepNext w:val="0"/>
        <w:spacing w:before="0" w:after="120" w:line="360" w:lineRule="auto"/>
        <w:jc w:val="both"/>
      </w:pPr>
      <w:r>
        <w:rPr>
          <w:rFonts w:ascii="Arial" w:hAnsi="Arial"/>
          <w:b w:val="0"/>
          <w:i w:val="0"/>
          <w:color w:val="000000"/>
          <w:sz w:val="24"/>
        </w:rPr>
        <w:t>La Ley Provincial N° 5.170 fue concebida alrededor de fichas en papel, copias, certificaciones manuales y archivos físicos. Esas reglas cumplieron una función histórica, pero hoy pueden complementarse y sustituirse gradualmente mediante herramientas que acrediten identidad, voluntad, integridad y fecha cierta con mayores posibilidades de auditoría.</w:t>
      </w:r>
    </w:p>
    <w:p>
      <w:pPr>
        <w:keepNext w:val="0"/>
        <w:spacing w:before="0" w:after="120" w:line="360" w:lineRule="auto"/>
        <w:jc w:val="both"/>
      </w:pPr>
      <w:r>
        <w:rPr>
          <w:rFonts w:ascii="Arial" w:hAnsi="Arial"/>
          <w:b w:val="0"/>
          <w:i w:val="0"/>
          <w:color w:val="000000"/>
          <w:sz w:val="24"/>
        </w:rPr>
        <w:t>La iniciativa se apoya en la Constitución Nacional y en la Constitución de Entre Ríos, en la Ley Nacional N° 23.298 de Partidos Políticos, en la Ley Nacional N° 25.506 de Firma Digital y en la Ley Nacional N° 25.326 de Protección de Datos Personales. También se armoniza con el Código Electoral provincial aprobado por Ley N° 11.190 y con las Leyes Provinciales Nros. 10.898 y 10.425 sobre herramientas digitales, documentación electrónica y firma digital.</w:t>
      </w:r>
    </w:p>
    <w:p>
      <w:pPr>
        <w:keepNext w:val="0"/>
        <w:spacing w:before="0" w:after="120" w:line="360" w:lineRule="auto"/>
        <w:jc w:val="both"/>
      </w:pPr>
      <w:r>
        <w:rPr>
          <w:rFonts w:ascii="Arial" w:hAnsi="Arial"/>
          <w:b w:val="0"/>
          <w:i w:val="0"/>
          <w:color w:val="000000"/>
          <w:sz w:val="24"/>
        </w:rPr>
        <w:t>Entre Ríos ya cuenta con una infraestructura adecuada para dar este paso. El Decreto N° 2638/25 creó la plataforma "Mi Entre Ríos" como portal único oficial de trámites y servicios digitales de la Provincia, con herramientas de autenticación, firma digital, formularios, notificaciones, validación de identidad y seguimiento de expedientes. Integrar a esa plataforma un módulo de participación política evita duplicar sistemas, aprovecha mecanismos oficiales existentes y facilita el acceso desde la aplicación móvil o el portal web.</w:t>
      </w:r>
    </w:p>
    <w:p>
      <w:pPr>
        <w:keepNext w:val="0"/>
        <w:spacing w:before="0" w:after="120" w:line="360" w:lineRule="auto"/>
        <w:jc w:val="both"/>
      </w:pPr>
      <w:r>
        <w:rPr>
          <w:rFonts w:ascii="Arial" w:hAnsi="Arial"/>
          <w:b w:val="0"/>
          <w:i w:val="0"/>
          <w:color w:val="000000"/>
          <w:sz w:val="24"/>
        </w:rPr>
        <w:t>El texto cuida especialmente la distribución de competencias. Su aplicación directa se limita a los partidos provinciales y municipales regidos por la Ley N° 5.170. Para los partidos nacionales o de distrito se prevé cooperación con la Justicia Nacional Electoral, sin invadir atribuciones federales.</w:t>
      </w:r>
    </w:p>
    <w:p>
      <w:pPr>
        <w:keepNext w:val="0"/>
        <w:spacing w:before="0" w:after="120" w:line="360" w:lineRule="auto"/>
        <w:jc w:val="both"/>
      </w:pPr>
      <w:r>
        <w:rPr>
          <w:rFonts w:ascii="Arial" w:hAnsi="Arial"/>
          <w:b w:val="0"/>
          <w:i w:val="0"/>
          <w:color w:val="000000"/>
          <w:sz w:val="24"/>
        </w:rPr>
        <w:t>La afiliación digital no será automática ni podrá presumirse. Deberá existir una manifestación previa, expresa, informada y verificable. Cada movimiento generará una constancia y será notificado a la persona. Frente a una afiliación apócrifa o errónea, habrá un procedimiento gratuito y trazable para su revisión y supresión.</w:t>
      </w:r>
    </w:p>
    <w:p>
      <w:pPr>
        <w:keepNext w:val="0"/>
        <w:spacing w:before="0" w:after="120" w:line="360" w:lineRule="auto"/>
        <w:jc w:val="both"/>
      </w:pPr>
      <w:r>
        <w:rPr>
          <w:rFonts w:ascii="Arial" w:hAnsi="Arial"/>
          <w:b w:val="0"/>
          <w:i w:val="0"/>
          <w:color w:val="000000"/>
          <w:sz w:val="24"/>
        </w:rPr>
        <w:t>La misma garantía debe regir para la desafiliación. La libertad de asociación incluye el derecho a no permanecer afiliado. Por eso la renuncia presentada ante el Tribunal Electoral tendrá fecha cierta, constancia inmediata y comunicación al partido, sin que el silencio pueda convertirse en una barrera.</w:t>
      </w:r>
    </w:p>
    <w:p>
      <w:pPr>
        <w:keepNext w:val="0"/>
        <w:spacing w:before="0" w:after="120" w:line="360" w:lineRule="auto"/>
        <w:jc w:val="both"/>
      </w:pPr>
      <w:r>
        <w:rPr>
          <w:rFonts w:ascii="Arial" w:hAnsi="Arial"/>
          <w:b w:val="0"/>
          <w:i w:val="0"/>
          <w:color w:val="000000"/>
          <w:sz w:val="24"/>
        </w:rPr>
        <w:t>La modernización tampoco puede excluir. Se mantienen canales presenciales asistidos, soluciones de accesibilidad y procedimientos de contingencia. La tecnología debe ampliar derechos y reducir costos, no crear una nueva desigualdad entre quienes tienen conectividad y quienes no.</w:t>
      </w:r>
    </w:p>
    <w:p>
      <w:pPr>
        <w:keepNext w:val="0"/>
        <w:spacing w:before="0" w:after="120" w:line="360" w:lineRule="auto"/>
        <w:jc w:val="both"/>
      </w:pPr>
      <w:r>
        <w:rPr>
          <w:rFonts w:ascii="Arial" w:hAnsi="Arial"/>
          <w:b w:val="0"/>
          <w:i w:val="0"/>
          <w:color w:val="000000"/>
          <w:sz w:val="24"/>
        </w:rPr>
        <w:t>La digitalización permitirá disminuir papel, traslados y duplicidades; mejorar la conservación documental; fortalecer la fiscalización partidaria; y producir estadísticas agregadas sin revelar la identidad política de las personas. Los registros de auditoría y las evaluaciones de seguridad contribuirán, además, a prevenir manipulaciones y a reconstruir cada operación.</w:t>
      </w:r>
    </w:p>
    <w:p>
      <w:pPr>
        <w:keepNext w:val="0"/>
        <w:spacing w:before="0" w:after="120" w:line="360" w:lineRule="auto"/>
        <w:jc w:val="both"/>
      </w:pPr>
      <w:r>
        <w:rPr>
          <w:rFonts w:ascii="Arial" w:hAnsi="Arial"/>
          <w:b w:val="0"/>
          <w:i w:val="0"/>
          <w:color w:val="000000"/>
          <w:sz w:val="24"/>
        </w:rPr>
        <w:t>Esta propuesta inaugura una etapa de trabajo legislativo del Bloque Hacer Futuro con una convicción concreta: renovar la política es devolverle poder de decisión a la ciudadanía, abrir las instituciones y transformar la tecnología en una herramienta de confianza democrática.</w:t>
      </w:r>
    </w:p>
    <w:p>
      <w:pPr>
        <w:keepNext w:val="0"/>
        <w:spacing w:before="0" w:after="120" w:line="360" w:lineRule="auto"/>
        <w:jc w:val="both"/>
      </w:pPr>
      <w:r>
        <w:rPr>
          <w:rFonts w:ascii="Arial" w:hAnsi="Arial"/>
          <w:b w:val="0"/>
          <w:i w:val="0"/>
          <w:color w:val="000000"/>
          <w:sz w:val="24"/>
        </w:rPr>
        <w:t>Por los motivos expuestos, solicito a mis pares el acompañamiento del presente proyecto de ley.</w:t>
      </w:r>
    </w:p>
    <w:p>
      <w:pPr>
        <w:keepNext w:val="0"/>
        <w:spacing w:before="0" w:after="320" w:line="360" w:lineRule="auto"/>
      </w:pPr>
    </w:p>
    <w:p>
      <w:pPr>
        <w:keepNext w:val="0"/>
        <w:keepLines/>
        <w:spacing w:before="0" w:after="0" w:line="360" w:lineRule="auto"/>
        <w:jc w:val="right"/>
      </w:pPr>
      <w:r>
        <w:rPr>
          <w:rFonts w:ascii="Arial" w:hAnsi="Arial"/>
          <w:b/>
          <w:i w:val="0"/>
          <w:color w:val="000000"/>
          <w:sz w:val="24"/>
        </w:rPr>
        <w:t>Patricia Teresa Díaz</w:t>
      </w:r>
    </w:p>
    <w:p>
      <w:pPr>
        <w:keepNext w:val="0"/>
        <w:spacing w:before="0" w:after="0" w:line="240" w:lineRule="auto"/>
        <w:jc w:val="right"/>
      </w:pPr>
      <w:r>
        <w:rPr>
          <w:rFonts w:ascii="Arial" w:hAnsi="Arial"/>
          <w:b w:val="0"/>
          <w:i w:val="0"/>
          <w:color w:val="000000"/>
          <w:sz w:val="22"/>
        </w:rPr>
        <w:t>Senadora Provincial - Departamento La Paz</w:t>
      </w:r>
    </w:p>
    <w:p>
      <w:pPr>
        <w:keepNext w:val="0"/>
        <w:spacing w:before="0" w:after="0" w:line="240" w:lineRule="auto"/>
        <w:jc w:val="right"/>
      </w:pPr>
      <w:r>
        <w:rPr>
          <w:rFonts w:ascii="Arial" w:hAnsi="Arial"/>
          <w:b/>
          <w:i w:val="0"/>
          <w:color w:val="000000"/>
          <w:sz w:val="22"/>
        </w:rPr>
        <w:t>Bloque Hacer Futuro</w:t>
      </w:r>
    </w:p>
    <w:sectPr w:rsidR="006F03DE" w:rsidSect="00034616">
      <w:headerReference w:type="default" r:id="rId8"/>
      <w:footerReference w:type="default" r:id="rId9"/>
      <w:pgSz w:w="11906" w:h="16838"/>
      <w:pgMar w:top="1814" w:right="1417" w:bottom="1361" w:left="1417" w:header="340" w:footer="3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3DE" w:rsidRDefault="006F03DE" w:rsidP="006F03DE">
      <w:pPr>
        <w:spacing w:after="0" w:line="240" w:lineRule="auto"/>
      </w:pPr>
      <w:r>
        <w:separator/>
      </w:r>
    </w:p>
  </w:endnote>
  <w:endnote w:type="continuationSeparator" w:id="1">
    <w:p w:rsidR="006F03DE" w:rsidRDefault="006F03DE" w:rsidP="006F03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ns2="http://schemas.openxmlformats.org/drawingml/2006/main" xmlns:ns3="http://schemas.openxmlformats.org/drawingml/2006/picture" xmlns:ns4="http://schemas.openxmlformats.org/officeDocument/2006/relationships" xmlns:w="http://schemas.openxmlformats.org/wordprocessingml/2006/main" xmlns:wp="http://schemas.openxmlformats.org/drawingml/2006/wordprocessingDrawing">
  <w:p w:rsidR="006F03DE" w:rsidRDefault="00A40FDA">
    <w:pPr>
      <w:pStyle w:val="Piedepgina"/>
      <w:jc w:val="center"/>
    </w:pPr>
    <w:r>
      <w:rPr>
        <w:noProof/>
        <w:lang w:val="es-ES" w:eastAsia="es-ES"/>
      </w:rPr>
      <w:drawing>
        <wp:inline distT="0" distB="0" distL="0" distR="0">
          <wp:extent cx="5760000" cy="814286"/>
          <wp:effectExtent l="0" t="0" r="0" b="0"/>
          <wp:docPr id="2" name="Picture 1" descr="Sitio web y domicilio institucional del Honorable Senado de Entre Ríos" title="Sitio web y domicilio institucional del Honorable Senado de Entre Ríos"/>
          <wp:cNvGraphicFramePr>
            <ns2:graphicFrameLocks noChangeAspect="1"/>
          </wp:cNvGraphicFramePr>
          <ns2:graphic>
            <ns2:graphicData uri="http://schemas.openxmlformats.org/drawingml/2006/picture">
              <ns3:pic>
                <ns3:nvPicPr>
                  <ns3:cNvPr id="0" name="image2.png"/>
                  <ns3:cNvPicPr/>
                </ns3:nvPicPr>
                <ns3:blipFill>
                  <ns2:blip ns4:embed="rId1"/>
                  <ns2:stretch>
                    <ns2:fillRect/>
                  </ns2:stretch>
                </ns3:blipFill>
                <ns3:spPr>
                  <ns2:xfrm>
                    <ns2:off x="0" y="0"/>
                    <ns2:ext cx="5760000" cy="814286"/>
                  </ns2:xfrm>
                  <ns2:prstGeom prst="rect">
                    <ns2:avLst/>
                  </ns2:prstGeom>
                </ns3:spPr>
              </ns3:pic>
            </ns2:graphicData>
          </ns2: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3DE" w:rsidRDefault="006F03DE" w:rsidP="006F03DE">
      <w:pPr>
        <w:spacing w:after="0" w:line="240" w:lineRule="auto"/>
      </w:pPr>
      <w:r>
        <w:separator/>
      </w:r>
    </w:p>
  </w:footnote>
  <w:footnote w:type="continuationSeparator" w:id="1">
    <w:p w:rsidR="006F03DE" w:rsidRDefault="006F03DE" w:rsidP="006F03DE">
      <w:pPr>
        <w:spacing w:after="0" w:line="240" w:lineRule="auto"/>
      </w:pPr>
      <w:r>
        <w:continuationSeparator/>
      </w:r>
    </w:p>
  </w:footnote>
</w:footnotes>
</file>

<file path=word/header1.xml><?xml version="1.0" encoding="utf-8"?>
<w:hdr xmlns:ns2="http://schemas.openxmlformats.org/drawingml/2006/main" xmlns:ns3="http://schemas.openxmlformats.org/drawingml/2006/picture" xmlns:ns4="http://schemas.openxmlformats.org/officeDocument/2006/relationships" xmlns:w="http://schemas.openxmlformats.org/wordprocessingml/2006/main" xmlns:wp="http://schemas.openxmlformats.org/drawingml/2006/wordprocessingDrawing">
  <w:p w:rsidR="006F03DE" w:rsidRDefault="00A40FDA">
    <w:pPr>
      <w:pStyle w:val="Encabezado"/>
      <w:jc w:val="center"/>
    </w:pPr>
    <w:r>
      <w:rPr>
        <w:noProof/>
        <w:lang w:val="es-ES" w:eastAsia="es-ES"/>
      </w:rPr>
      <w:drawing>
        <wp:inline distT="0" distB="0" distL="0" distR="0">
          <wp:extent cx="5760000" cy="840000"/>
          <wp:effectExtent l="0" t="0" r="0" b="0"/>
          <wp:docPr id="1" name="Picture 1" descr="Identidad visual del Honorable Senado de Entre Ríos" title="Identidad visual del Honorable Senado de Entre Ríos"/>
          <wp:cNvGraphicFramePr>
            <ns2:graphicFrameLocks noChangeAspect="1"/>
          </wp:cNvGraphicFramePr>
          <ns2:graphic>
            <ns2:graphicData uri="http://schemas.openxmlformats.org/drawingml/2006/picture">
              <ns3:pic>
                <ns3:nvPicPr>
                  <ns3:cNvPr id="0" name="image1.png"/>
                  <ns3:cNvPicPr/>
                </ns3:nvPicPr>
                <ns3:blipFill>
                  <ns2:blip ns4:embed="rId1"/>
                  <ns2:stretch>
                    <ns2:fillRect/>
                  </ns2:stretch>
                </ns3:blipFill>
                <ns3:spPr>
                  <ns2:xfrm>
                    <ns2:off x="0" y="0"/>
                    <ns2:ext cx="5760000" cy="840000"/>
                  </ns2:xfrm>
                  <ns2:prstGeom prst="rect">
                    <ns2:avLst/>
                  </ns2:prstGeom>
                </ns3:spPr>
              </ns3:pic>
            </ns2:graphicData>
          </ns2: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B47730"/>
    <w:rsid w:val="00034616"/>
    <w:rsid w:val="0006063C"/>
    <w:rsid w:val="0015074B"/>
    <w:rsid w:val="0029639D"/>
    <w:rsid w:val="00326F90"/>
    <w:rsid w:val="006F03DE"/>
    <w:rsid w:val="00A40FDA"/>
    <w:rsid w:val="00AA1D8D"/>
    <w:rsid w:val="00B47730"/>
    <w:rsid w:val="00CB0664"/>
    <w:rsid w:val="00FC693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360" w:lineRule="auto"/>
    </w:pPr>
    <w:rPr>
      <w:rFonts w:ascii="Arial" w:eastAsia="Times New Roman" w:hAnsi="Arial"/>
      <w:color w:val="000000"/>
      <w:sz w:val="24"/>
    </w:rPr>
  </w:style>
  <w:style w:type="paragraph" w:styleId="Ttulo1">
    <w:name w:val="heading 1"/>
    <w:basedOn w:val="Normal"/>
    <w:next w:val="Normal"/>
    <w:link w:val="Ttulo1Car"/>
    <w:uiPriority w:val="9"/>
    <w:qFormat/>
    <w:rsid w:val="00FC693F"/>
    <w:pPr>
      <w:keepNext/>
      <w:keepLines/>
      <w:spacing w:before="180" w:after="0"/>
      <w:jc w:val="center"/>
      <w:outlineLvl w:val="0"/>
    </w:pPr>
    <w:rPr>
      <w:rFonts w:asciiTheme="majorHAnsi" w:eastAsiaTheme="majorEastAsia" w:hAnsiTheme="majorHAnsi" w:cstheme="majorBidi" w:ascii="Arial" w:hAnsi="Arial"/>
      <w:b/>
      <w:bCs/>
      <w:color w:val="000000"/>
      <w:sz w:val="24"/>
      <w:szCs w:val="28"/>
    </w:rPr>
  </w:style>
  <w:style w:type="paragraph" w:styleId="Ttulo2">
    <w:name w:val="heading 2"/>
    <w:basedOn w:val="Normal"/>
    <w:next w:val="Normal"/>
    <w:link w:val="Ttulo2Car"/>
    <w:uiPriority w:val="9"/>
    <w:unhideWhenUsed/>
    <w:qFormat/>
    <w:rsid w:val="00FC693F"/>
    <w:pPr>
      <w:keepNext/>
      <w:keepLines/>
      <w:spacing w:before="0" w:after="120"/>
      <w:jc w:val="center"/>
      <w:outlineLvl w:val="1"/>
    </w:pPr>
    <w:rPr>
      <w:rFonts w:asciiTheme="majorHAnsi" w:eastAsiaTheme="majorEastAsia" w:hAnsiTheme="majorHAnsi" w:cstheme="majorBidi" w:ascii="Arial" w:hAnsi="Arial"/>
      <w:b/>
      <w:bCs/>
      <w:color w:val="000000"/>
      <w:sz w:val="24"/>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Epgraf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de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deglobo">
    <w:name w:val="Balloon Text"/>
    <w:basedOn w:val="Normal"/>
    <w:link w:val="TextodegloboCar"/>
    <w:uiPriority w:val="99"/>
    <w:semiHidden/>
    <w:unhideWhenUsed/>
    <w:rsid w:val="00A40F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0FDA"/>
    <w:rPr>
      <w:rFonts w:ascii="Tahoma" w:eastAsia="Times New Roman"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3466</Characters>
  <Application>Microsoft Office Word</Application>
  <DocSecurity>0</DocSecurity>
  <Lines>56</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4055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Ley de Afiliación y Desafiliación Digital</dc:title>
  <dc:subject>Modernización de la Ley N° 5.170 y armonización con la Ley N° 11.190</dc:subject>
  <dc:creator>Patricia Teresa Díaz - Bloque Hacer Futuro</dc:creator>
  <cp:keywords/>
  <dc:description>generated by python-docx</dc:description>
  <cp:lastModifiedBy>Guillermo</cp:lastModifiedBy>
  <cp:revision>2</cp:revision>
  <dcterms:created xsi:type="dcterms:W3CDTF">2026-07-08T14:53:00Z</dcterms:created>
  <dcterms:modified xsi:type="dcterms:W3CDTF">2026-07-08T14:53:00Z</dcterms:modified>
  <cp:category/>
</cp:coreProperties>
</file>