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D51" w:rsidRDefault="002A1D51">
      <w:pPr>
        <w:rPr>
          <w:rFonts w:ascii="Arial" w:eastAsia="Arial" w:hAnsi="Arial" w:cs="Arial"/>
        </w:rPr>
      </w:pPr>
      <w:bookmarkStart w:id="0" w:name="_heading=h.zfkbdjoy3wyi" w:colFirst="0" w:colLast="0"/>
      <w:bookmarkEnd w:id="0"/>
    </w:p>
    <w:p w:rsidR="002A1D51" w:rsidRDefault="00555591">
      <w:pPr>
        <w:rPr>
          <w:rFonts w:ascii="Arial" w:eastAsia="Arial" w:hAnsi="Arial" w:cs="Arial"/>
        </w:rPr>
      </w:pPr>
      <w:r>
        <w:rPr>
          <w:rFonts w:ascii="Arial" w:eastAsia="Arial" w:hAnsi="Arial" w:cs="Arial"/>
        </w:rPr>
        <w:t xml:space="preserve">                                                                                   </w:t>
      </w:r>
      <w:r>
        <w:rPr>
          <w:rFonts w:ascii="Arial" w:eastAsia="Arial" w:hAnsi="Arial" w:cs="Arial"/>
          <w:noProof/>
          <w:lang w:val="es-AR"/>
        </w:rPr>
        <w:drawing>
          <wp:inline distT="0" distB="0" distL="0" distR="0">
            <wp:extent cx="1827520" cy="27243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27520" cy="272436"/>
                    </a:xfrm>
                    <a:prstGeom prst="rect">
                      <a:avLst/>
                    </a:prstGeom>
                    <a:ln/>
                  </pic:spPr>
                </pic:pic>
              </a:graphicData>
            </a:graphic>
          </wp:inline>
        </w:drawing>
      </w:r>
    </w:p>
    <w:p w:rsidR="002A1D51" w:rsidRDefault="002A1D51">
      <w:pPr>
        <w:rPr>
          <w:rFonts w:ascii="Arial" w:eastAsia="Arial" w:hAnsi="Arial" w:cs="Arial"/>
        </w:rPr>
      </w:pPr>
    </w:p>
    <w:p w:rsidR="002A1D51" w:rsidRDefault="00555591">
      <w:pPr>
        <w:rPr>
          <w:rFonts w:ascii="Arial" w:eastAsia="Arial" w:hAnsi="Arial" w:cs="Arial"/>
          <w:b/>
          <w:bCs/>
          <w:u w:val="single"/>
        </w:rPr>
      </w:pPr>
      <w:r>
        <w:rPr>
          <w:rFonts w:ascii="Arial" w:eastAsia="Arial" w:hAnsi="Arial" w:cs="Arial"/>
          <w:b/>
          <w:bCs/>
          <w:u w:val="single"/>
        </w:rPr>
        <w:t>FUNDAMENTOS</w:t>
      </w:r>
    </w:p>
    <w:p w:rsidR="002A1D51" w:rsidRDefault="00555591">
      <w:pPr>
        <w:spacing w:before="240" w:after="240" w:line="240" w:lineRule="auto"/>
        <w:jc w:val="both"/>
        <w:rPr>
          <w:rFonts w:ascii="Arial" w:eastAsia="Arial" w:hAnsi="Arial" w:cs="Arial"/>
        </w:rPr>
      </w:pPr>
      <w:r>
        <w:rPr>
          <w:rFonts w:ascii="Arial" w:eastAsia="Arial" w:hAnsi="Arial" w:cs="Arial"/>
        </w:rPr>
        <w:t>Este año Colonia San Miguel cumple 100 años de existencia y se llevarán adelante distintas celebraciones. Los eventos tienen como finalidad reunir a los habitantes de la Comuna junto a sus descendientes y demás familiares que hoy se encuentran dispersos po</w:t>
      </w:r>
      <w:r>
        <w:rPr>
          <w:rFonts w:ascii="Arial" w:eastAsia="Arial" w:hAnsi="Arial" w:cs="Arial"/>
        </w:rPr>
        <w:t>r distintas partes del territorio nacional, pero que nunca han interrumpido sus fuertes lazos afectivos y de pertenencia, manteniendo vivas las amistades y el vínculo constante con su colonia de origen.</w:t>
      </w:r>
    </w:p>
    <w:p w:rsidR="002A1D51" w:rsidRDefault="00555591">
      <w:pPr>
        <w:spacing w:before="240" w:after="240" w:line="240" w:lineRule="auto"/>
        <w:jc w:val="both"/>
        <w:rPr>
          <w:rFonts w:ascii="Arial" w:eastAsia="Arial" w:hAnsi="Arial" w:cs="Arial"/>
        </w:rPr>
      </w:pPr>
      <w:r>
        <w:rPr>
          <w:rFonts w:ascii="Arial" w:eastAsia="Arial" w:hAnsi="Arial" w:cs="Arial"/>
        </w:rPr>
        <w:t>La colonia carece de una fecha o fundador específico,</w:t>
      </w:r>
      <w:r>
        <w:rPr>
          <w:rFonts w:ascii="Arial" w:eastAsia="Arial" w:hAnsi="Arial" w:cs="Arial"/>
        </w:rPr>
        <w:t xml:space="preserve"> aunque sus antecedentes se remontan a finales del siglo XIX como una estancia de 18.355 hectáreas propiedad de Manuel </w:t>
      </w:r>
      <w:proofErr w:type="spellStart"/>
      <w:r>
        <w:rPr>
          <w:rFonts w:ascii="Arial" w:eastAsia="Arial" w:hAnsi="Arial" w:cs="Arial"/>
        </w:rPr>
        <w:t>Peyrallo</w:t>
      </w:r>
      <w:proofErr w:type="spellEnd"/>
      <w:r>
        <w:rPr>
          <w:rFonts w:ascii="Arial" w:eastAsia="Arial" w:hAnsi="Arial" w:cs="Arial"/>
        </w:rPr>
        <w:t>. Durante la segunda rebelión de Ricardo López Jordán en 1873, el sitio fue escenario de enfrentamientos entre las fuerzas nacion</w:t>
      </w:r>
      <w:r>
        <w:rPr>
          <w:rFonts w:ascii="Arial" w:eastAsia="Arial" w:hAnsi="Arial" w:cs="Arial"/>
        </w:rPr>
        <w:t xml:space="preserve">ales y las tropas rebeldes. Posteriormente, en 1915, la estancia fue adquirida por la Sociedad Nicolás </w:t>
      </w:r>
      <w:proofErr w:type="spellStart"/>
      <w:r>
        <w:rPr>
          <w:rFonts w:ascii="Arial" w:eastAsia="Arial" w:hAnsi="Arial" w:cs="Arial"/>
        </w:rPr>
        <w:t>Mihanovich</w:t>
      </w:r>
      <w:proofErr w:type="spellEnd"/>
      <w:r>
        <w:rPr>
          <w:rFonts w:ascii="Arial" w:eastAsia="Arial" w:hAnsi="Arial" w:cs="Arial"/>
        </w:rPr>
        <w:t xml:space="preserve">, sirviendo durante tres décadas como campo de engorde para el ganado de la Compañía </w:t>
      </w:r>
      <w:proofErr w:type="spellStart"/>
      <w:r>
        <w:rPr>
          <w:rFonts w:ascii="Arial" w:eastAsia="Arial" w:hAnsi="Arial" w:cs="Arial"/>
        </w:rPr>
        <w:t>Liebig</w:t>
      </w:r>
      <w:proofErr w:type="spellEnd"/>
      <w:r>
        <w:rPr>
          <w:rFonts w:ascii="Arial" w:eastAsia="Arial" w:hAnsi="Arial" w:cs="Arial"/>
        </w:rPr>
        <w:t xml:space="preserve"> antes de ser procesado en el frigorífico de Pueblo </w:t>
      </w:r>
      <w:proofErr w:type="spellStart"/>
      <w:r>
        <w:rPr>
          <w:rFonts w:ascii="Arial" w:eastAsia="Arial" w:hAnsi="Arial" w:cs="Arial"/>
        </w:rPr>
        <w:t>Liebig</w:t>
      </w:r>
      <w:proofErr w:type="spellEnd"/>
      <w:r>
        <w:rPr>
          <w:rFonts w:ascii="Arial" w:eastAsia="Arial" w:hAnsi="Arial" w:cs="Arial"/>
        </w:rPr>
        <w:t>.</w:t>
      </w:r>
    </w:p>
    <w:p w:rsidR="002A1D51" w:rsidRDefault="00555591">
      <w:pPr>
        <w:spacing w:before="240" w:after="240" w:line="240" w:lineRule="auto"/>
        <w:jc w:val="both"/>
        <w:rPr>
          <w:rFonts w:ascii="Arial" w:eastAsia="Arial" w:hAnsi="Arial" w:cs="Arial"/>
        </w:rPr>
      </w:pPr>
      <w:r>
        <w:rPr>
          <w:rFonts w:ascii="Arial" w:eastAsia="Arial" w:hAnsi="Arial" w:cs="Arial"/>
        </w:rPr>
        <w:t xml:space="preserve">El proceso de colonización formal comenzó en 1926 bajo la firma Nicolás </w:t>
      </w:r>
      <w:proofErr w:type="spellStart"/>
      <w:r>
        <w:rPr>
          <w:rFonts w:ascii="Arial" w:eastAsia="Arial" w:hAnsi="Arial" w:cs="Arial"/>
        </w:rPr>
        <w:t>Mihanovich</w:t>
      </w:r>
      <w:proofErr w:type="spellEnd"/>
      <w:r>
        <w:rPr>
          <w:rFonts w:ascii="Arial" w:eastAsia="Arial" w:hAnsi="Arial" w:cs="Arial"/>
        </w:rPr>
        <w:t xml:space="preserve"> S.A., desarrollándose en tres etapas sucesivas hasta 1939 que abarcaron más de 10.000 hectáreas divididas en chacras de 25 hectáreas. Los colonos se dedicaron princi</w:t>
      </w:r>
      <w:r>
        <w:rPr>
          <w:rFonts w:ascii="Arial" w:eastAsia="Arial" w:hAnsi="Arial" w:cs="Arial"/>
        </w:rPr>
        <w:t>palmente a la agricultura de trigo, maíz y arroz, complementada con la ganadería y la avicultura. El desarrollo social de la comunidad se consolidó con la instalación de almacenes de ramos generales y la creación de tres escuelas primarias, entre las que d</w:t>
      </w:r>
      <w:r>
        <w:rPr>
          <w:rFonts w:ascii="Arial" w:eastAsia="Arial" w:hAnsi="Arial" w:cs="Arial"/>
        </w:rPr>
        <w:t xml:space="preserve">estaca la actual Escuela N° 76 “Colonizadores del Cantón de Valais”, cuyo edificio fue construido por el esfuerzo de los propios vecinos en tierras donadas por Arturo </w:t>
      </w:r>
      <w:proofErr w:type="spellStart"/>
      <w:r>
        <w:rPr>
          <w:rFonts w:ascii="Arial" w:eastAsia="Arial" w:hAnsi="Arial" w:cs="Arial"/>
        </w:rPr>
        <w:t>Gaggia</w:t>
      </w:r>
      <w:proofErr w:type="spellEnd"/>
      <w:r>
        <w:rPr>
          <w:rFonts w:ascii="Arial" w:eastAsia="Arial" w:hAnsi="Arial" w:cs="Arial"/>
        </w:rPr>
        <w:t>.</w:t>
      </w:r>
    </w:p>
    <w:p w:rsidR="002A1D51" w:rsidRDefault="00555591">
      <w:pPr>
        <w:spacing w:before="240" w:after="240" w:line="240" w:lineRule="auto"/>
        <w:jc w:val="both"/>
        <w:rPr>
          <w:rFonts w:ascii="Arial" w:eastAsia="Arial" w:hAnsi="Arial" w:cs="Arial"/>
        </w:rPr>
      </w:pPr>
      <w:r>
        <w:rPr>
          <w:rFonts w:ascii="Arial" w:eastAsia="Arial" w:hAnsi="Arial" w:cs="Arial"/>
        </w:rPr>
        <w:t xml:space="preserve">Asimismo, en esta oportunidad se brindará un reconocimiento a los pioneros de la </w:t>
      </w:r>
      <w:r>
        <w:rPr>
          <w:rFonts w:ascii="Arial" w:eastAsia="Arial" w:hAnsi="Arial" w:cs="Arial"/>
        </w:rPr>
        <w:t>comunidad, poniendo en valor su historia y fortaleciendo la identidad, la cultura y la vocación de trabajo heredada de generaciones anteriores.</w:t>
      </w:r>
    </w:p>
    <w:p w:rsidR="002A1D51" w:rsidRDefault="00555591">
      <w:pPr>
        <w:spacing w:before="240" w:after="240" w:line="240" w:lineRule="auto"/>
        <w:jc w:val="both"/>
        <w:rPr>
          <w:rFonts w:ascii="Arial" w:eastAsia="Arial" w:hAnsi="Arial" w:cs="Arial"/>
        </w:rPr>
      </w:pPr>
      <w:r>
        <w:rPr>
          <w:rFonts w:ascii="Arial" w:eastAsia="Arial" w:hAnsi="Arial" w:cs="Arial"/>
        </w:rPr>
        <w:t>Del mismo modo, el evento contempla la realización de diversas actividades sociales, culturales y recreativas qu</w:t>
      </w:r>
      <w:r>
        <w:rPr>
          <w:rFonts w:ascii="Arial" w:eastAsia="Arial" w:hAnsi="Arial" w:cs="Arial"/>
        </w:rPr>
        <w:t>e tendrán un impacto directo en la economía regional. Para ello, se convocará a las cooperadoras escolares de la jurisdicción comunal a fin de prestar distintos servicios, tales como kioscos, venta de comidas rápidas y refrigerios, generando beneficios par</w:t>
      </w:r>
      <w:r>
        <w:rPr>
          <w:rFonts w:ascii="Arial" w:eastAsia="Arial" w:hAnsi="Arial" w:cs="Arial"/>
        </w:rPr>
        <w:t>a cada institución participante. Este año también se conmemora el 75° aniversario de la capilla “Nuestra Señora de Luján“, por lo que el grupo de feligreses de la Colonia harán lo propio en el mismo evento para conmemorar tan importante suceso para la comu</w:t>
      </w:r>
      <w:r>
        <w:rPr>
          <w:rFonts w:ascii="Arial" w:eastAsia="Arial" w:hAnsi="Arial" w:cs="Arial"/>
        </w:rPr>
        <w:t>nidad Católica de Colonia San Miguel.</w:t>
      </w:r>
    </w:p>
    <w:p w:rsidR="002A1D51" w:rsidRDefault="00555591">
      <w:pPr>
        <w:spacing w:before="240" w:after="240" w:line="240" w:lineRule="auto"/>
        <w:jc w:val="both"/>
        <w:rPr>
          <w:rFonts w:ascii="Arial" w:eastAsia="Arial" w:hAnsi="Arial" w:cs="Arial"/>
        </w:rPr>
      </w:pPr>
      <w:r>
        <w:rPr>
          <w:rFonts w:ascii="Arial" w:eastAsia="Arial" w:hAnsi="Arial" w:cs="Arial"/>
        </w:rPr>
        <w:t>Por lo antes expuesto, solicito a mis pares que acompañen este proyecto.</w:t>
      </w:r>
    </w:p>
    <w:p w:rsidR="002A1D51" w:rsidRDefault="002A1D51">
      <w:pPr>
        <w:spacing w:before="280" w:after="280" w:line="240" w:lineRule="auto"/>
        <w:jc w:val="both"/>
        <w:rPr>
          <w:rFonts w:ascii="Arial" w:eastAsia="Arial" w:hAnsi="Arial" w:cs="Arial"/>
        </w:rPr>
      </w:pPr>
    </w:p>
    <w:p w:rsidR="002A1D51" w:rsidRDefault="002A1D51">
      <w:pPr>
        <w:spacing w:before="280" w:after="280" w:line="240" w:lineRule="auto"/>
        <w:jc w:val="both"/>
        <w:rPr>
          <w:rFonts w:ascii="Times New Roman" w:eastAsia="Times New Roman" w:hAnsi="Times New Roman" w:cs="Times New Roman"/>
          <w:sz w:val="24"/>
          <w:szCs w:val="24"/>
        </w:rPr>
      </w:pPr>
    </w:p>
    <w:p w:rsidR="002A1D51" w:rsidRDefault="002A1D51">
      <w:pPr>
        <w:spacing w:before="280" w:after="280" w:line="240" w:lineRule="auto"/>
        <w:jc w:val="both"/>
        <w:rPr>
          <w:rFonts w:ascii="Times New Roman" w:eastAsia="Times New Roman" w:hAnsi="Times New Roman" w:cs="Times New Roman"/>
          <w:sz w:val="24"/>
          <w:szCs w:val="24"/>
        </w:rPr>
      </w:pPr>
    </w:p>
    <w:p w:rsidR="002A1D51" w:rsidRDefault="002A1D51"/>
    <w:p w:rsidR="002A1D51" w:rsidRDefault="002A1D51">
      <w:bookmarkStart w:id="1" w:name="_GoBack"/>
      <w:bookmarkEnd w:id="1"/>
    </w:p>
    <w:p w:rsidR="002A1D51" w:rsidRDefault="00555591">
      <w:r>
        <w:t xml:space="preserve">                                                                                                                       </w:t>
      </w:r>
      <w:r>
        <w:rPr>
          <w:noProof/>
          <w:lang w:val="es-AR"/>
        </w:rPr>
        <w:drawing>
          <wp:inline distT="0" distB="0" distL="0" distR="0">
            <wp:extent cx="1902698" cy="285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02698" cy="285295"/>
                    </a:xfrm>
                    <a:prstGeom prst="rect">
                      <a:avLst/>
                    </a:prstGeom>
                    <a:ln/>
                  </pic:spPr>
                </pic:pic>
              </a:graphicData>
            </a:graphic>
          </wp:inline>
        </w:drawing>
      </w:r>
    </w:p>
    <w:p w:rsidR="002A1D51" w:rsidRDefault="002A1D51"/>
    <w:p w:rsidR="002A1D51" w:rsidRDefault="00555591">
      <w:pPr>
        <w:rPr>
          <w:rFonts w:ascii="Arial" w:eastAsia="Arial" w:hAnsi="Arial" w:cs="Arial"/>
          <w:b/>
          <w:bCs/>
        </w:rPr>
      </w:pPr>
      <w:r>
        <w:rPr>
          <w:rFonts w:ascii="Arial" w:eastAsia="Arial" w:hAnsi="Arial" w:cs="Arial"/>
          <w:b/>
          <w:bCs/>
        </w:rPr>
        <w:t>LA HONORABLE CÁMA</w:t>
      </w:r>
      <w:r>
        <w:rPr>
          <w:rFonts w:ascii="Arial" w:eastAsia="Arial" w:hAnsi="Arial" w:cs="Arial"/>
          <w:b/>
          <w:bCs/>
        </w:rPr>
        <w:t xml:space="preserve">RA DE SENADORES DE LA PROVINCIA DE ENTRE RÍOS </w:t>
      </w:r>
    </w:p>
    <w:p w:rsidR="002A1D51" w:rsidRDefault="00555591">
      <w:pPr>
        <w:rPr>
          <w:rFonts w:ascii="Arial" w:eastAsia="Arial" w:hAnsi="Arial" w:cs="Arial"/>
          <w:b/>
          <w:bCs/>
        </w:rPr>
      </w:pPr>
      <w:r>
        <w:rPr>
          <w:rFonts w:ascii="Arial" w:eastAsia="Arial" w:hAnsi="Arial" w:cs="Arial"/>
          <w:b/>
          <w:bCs/>
        </w:rPr>
        <w:t xml:space="preserve">                                                 DECLARA: </w:t>
      </w:r>
    </w:p>
    <w:p w:rsidR="002A1D51" w:rsidRDefault="002A1D51">
      <w:pPr>
        <w:rPr>
          <w:rFonts w:ascii="Arial" w:eastAsia="Arial" w:hAnsi="Arial" w:cs="Arial"/>
          <w:b/>
          <w:bCs/>
        </w:rPr>
      </w:pPr>
    </w:p>
    <w:p w:rsidR="002A1D51" w:rsidRPr="00555591" w:rsidRDefault="00555591" w:rsidP="00555591">
      <w:pPr>
        <w:jc w:val="both"/>
        <w:rPr>
          <w:rFonts w:ascii="Bookman Old Style" w:eastAsia="Arial" w:hAnsi="Bookman Old Style" w:cs="Arial"/>
          <w:sz w:val="28"/>
          <w:szCs w:val="28"/>
        </w:rPr>
      </w:pPr>
      <w:r w:rsidRPr="00555591">
        <w:rPr>
          <w:rFonts w:ascii="Bookman Old Style" w:eastAsia="Arial" w:hAnsi="Bookman Old Style" w:cs="Arial"/>
          <w:b/>
          <w:bCs/>
          <w:sz w:val="28"/>
          <w:szCs w:val="28"/>
          <w:u w:val="single"/>
        </w:rPr>
        <w:t>PRIMERO:</w:t>
      </w:r>
      <w:r w:rsidRPr="00555591">
        <w:rPr>
          <w:rFonts w:ascii="Bookman Old Style" w:eastAsia="Arial" w:hAnsi="Bookman Old Style" w:cs="Arial"/>
          <w:sz w:val="28"/>
          <w:szCs w:val="28"/>
        </w:rPr>
        <w:t xml:space="preserve"> De interés de esta H. Cámara de Senadores la</w:t>
      </w:r>
      <w:r w:rsidRPr="00555591">
        <w:rPr>
          <w:rFonts w:ascii="Bookman Old Style" w:eastAsia="Arial" w:hAnsi="Bookman Old Style" w:cs="Arial"/>
          <w:b/>
          <w:bCs/>
          <w:sz w:val="28"/>
          <w:szCs w:val="28"/>
        </w:rPr>
        <w:t xml:space="preserve"> celebración del centenario de la Colonia San Miguel</w:t>
      </w:r>
      <w:r w:rsidRPr="00555591">
        <w:rPr>
          <w:rFonts w:ascii="Bookman Old Style" w:eastAsia="Arial" w:hAnsi="Bookman Old Style" w:cs="Arial"/>
          <w:sz w:val="28"/>
          <w:szCs w:val="28"/>
        </w:rPr>
        <w:t>, departamento Colón, Provincia de Entre Río</w:t>
      </w:r>
      <w:r w:rsidRPr="00555591">
        <w:rPr>
          <w:rFonts w:ascii="Bookman Old Style" w:eastAsia="Arial" w:hAnsi="Bookman Old Style" w:cs="Arial"/>
          <w:sz w:val="28"/>
          <w:szCs w:val="28"/>
        </w:rPr>
        <w:t>s, a realizarse el domingo 11 de octubre de 2026 en la sede comunal y en el predio de la Capilla “Nuestra Sra. de Luján”.</w:t>
      </w:r>
    </w:p>
    <w:p w:rsidR="002A1D51" w:rsidRPr="00555591" w:rsidRDefault="002A1D51" w:rsidP="00555591">
      <w:pPr>
        <w:jc w:val="both"/>
        <w:rPr>
          <w:rFonts w:ascii="Bookman Old Style" w:eastAsia="Arial" w:hAnsi="Bookman Old Style" w:cs="Arial"/>
          <w:sz w:val="28"/>
          <w:szCs w:val="28"/>
        </w:rPr>
      </w:pPr>
    </w:p>
    <w:p w:rsidR="002A1D51" w:rsidRPr="00555591" w:rsidRDefault="00555591" w:rsidP="00555591">
      <w:pPr>
        <w:jc w:val="both"/>
        <w:rPr>
          <w:rFonts w:ascii="Bookman Old Style" w:eastAsia="Arial" w:hAnsi="Bookman Old Style" w:cs="Arial"/>
          <w:sz w:val="28"/>
          <w:szCs w:val="28"/>
        </w:rPr>
      </w:pPr>
      <w:r w:rsidRPr="00555591">
        <w:rPr>
          <w:rFonts w:ascii="Bookman Old Style" w:eastAsia="Arial" w:hAnsi="Bookman Old Style" w:cs="Arial"/>
          <w:b/>
          <w:bCs/>
          <w:sz w:val="28"/>
          <w:szCs w:val="28"/>
          <w:u w:val="single"/>
        </w:rPr>
        <w:t xml:space="preserve">SEGUNDO: </w:t>
      </w:r>
      <w:r w:rsidRPr="00555591">
        <w:rPr>
          <w:rFonts w:ascii="Bookman Old Style" w:eastAsia="Arial" w:hAnsi="Bookman Old Style" w:cs="Arial"/>
          <w:sz w:val="28"/>
          <w:szCs w:val="28"/>
        </w:rPr>
        <w:t xml:space="preserve">Comuníquese y remítase copia a la </w:t>
      </w:r>
      <w:r w:rsidRPr="00555591">
        <w:rPr>
          <w:rFonts w:ascii="Bookman Old Style" w:eastAsia="Arial" w:hAnsi="Bookman Old Style" w:cs="Arial"/>
          <w:sz w:val="28"/>
          <w:szCs w:val="28"/>
        </w:rPr>
        <w:t xml:space="preserve">Presidente Comunal de Colonia San Miguel, Sra. Lucia Beatriz </w:t>
      </w:r>
      <w:proofErr w:type="spellStart"/>
      <w:r w:rsidRPr="00555591">
        <w:rPr>
          <w:rFonts w:ascii="Bookman Old Style" w:eastAsia="Arial" w:hAnsi="Bookman Old Style" w:cs="Arial"/>
          <w:sz w:val="28"/>
          <w:szCs w:val="28"/>
        </w:rPr>
        <w:t>Russo</w:t>
      </w:r>
      <w:proofErr w:type="spellEnd"/>
      <w:r w:rsidRPr="00555591">
        <w:rPr>
          <w:rFonts w:ascii="Bookman Old Style" w:eastAsia="Arial" w:hAnsi="Bookman Old Style" w:cs="Arial"/>
          <w:sz w:val="28"/>
          <w:szCs w:val="28"/>
        </w:rPr>
        <w:t xml:space="preserve">. </w:t>
      </w:r>
    </w:p>
    <w:p w:rsidR="002A1D51" w:rsidRPr="00555591" w:rsidRDefault="002A1D51" w:rsidP="00555591">
      <w:pPr>
        <w:jc w:val="both"/>
        <w:rPr>
          <w:rFonts w:ascii="Bookman Old Style" w:eastAsia="Arial" w:hAnsi="Bookman Old Style" w:cs="Arial"/>
          <w:sz w:val="28"/>
          <w:szCs w:val="28"/>
        </w:rPr>
      </w:pPr>
    </w:p>
    <w:p w:rsidR="002A1D51" w:rsidRDefault="002A1D51">
      <w:pPr>
        <w:rPr>
          <w:rFonts w:ascii="Arial" w:eastAsia="Arial" w:hAnsi="Arial" w:cs="Arial"/>
        </w:rPr>
      </w:pPr>
    </w:p>
    <w:p w:rsidR="002A1D51" w:rsidRDefault="00555591">
      <w:pPr>
        <w:rPr>
          <w:rFonts w:ascii="Times New Roman" w:eastAsia="Times New Roman" w:hAnsi="Times New Roman" w:cs="Times New Roman"/>
          <w:b/>
          <w:bCs/>
          <w:sz w:val="20"/>
          <w:szCs w:val="20"/>
        </w:rPr>
      </w:pPr>
      <w:r>
        <w:rPr>
          <w:rFonts w:ascii="Arial" w:eastAsia="Arial" w:hAnsi="Arial" w:cs="Arial"/>
        </w:rPr>
        <w:t xml:space="preserve">                                                                                                 </w:t>
      </w:r>
    </w:p>
    <w:p w:rsidR="002A1D51" w:rsidRDefault="002A1D51">
      <w:pPr>
        <w:rPr>
          <w:rFonts w:ascii="Arial" w:eastAsia="Arial" w:hAnsi="Arial" w:cs="Arial"/>
        </w:rPr>
      </w:pPr>
    </w:p>
    <w:p w:rsidR="002A1D51" w:rsidRDefault="002A1D51">
      <w:pPr>
        <w:rPr>
          <w:rFonts w:ascii="Arial" w:eastAsia="Arial" w:hAnsi="Arial" w:cs="Arial"/>
        </w:rPr>
      </w:pPr>
    </w:p>
    <w:p w:rsidR="002A1D51" w:rsidRDefault="002A1D51">
      <w:pPr>
        <w:rPr>
          <w:rFonts w:ascii="Arial" w:eastAsia="Arial" w:hAnsi="Arial" w:cs="Arial"/>
        </w:rPr>
      </w:pPr>
    </w:p>
    <w:p w:rsidR="002A1D51" w:rsidRDefault="002A1D51">
      <w:pPr>
        <w:rPr>
          <w:rFonts w:ascii="Arial" w:eastAsia="Arial" w:hAnsi="Arial" w:cs="Arial"/>
        </w:rPr>
      </w:pPr>
    </w:p>
    <w:sectPr w:rsidR="002A1D51">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B2BFBD34-536F-4667-BA31-D8CB8EB28654}"/>
    <w:embedBold r:id="rId2" w:fontKey="{5F54573B-9BFE-4A59-B54C-D56D8492F26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96F275C-5F9C-41DD-BE41-AC7E7F59857D}"/>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4" w:fontKey="{C4FDCEC9-2D38-4285-8843-B2E4CCD7BBEB}"/>
    <w:embedBold r:id="rId5" w:fontKey="{6A068D57-345C-448D-B5C0-C21A54C7FD1D}"/>
  </w:font>
  <w:font w:name="Calibri Light">
    <w:panose1 w:val="020F0302020204030204"/>
    <w:charset w:val="00"/>
    <w:family w:val="swiss"/>
    <w:pitch w:val="variable"/>
    <w:sig w:usb0="E4002EFF" w:usb1="C200247B" w:usb2="00000009" w:usb3="00000000" w:csb0="000001FF" w:csb1="00000000"/>
    <w:embedRegular r:id="rId6" w:fontKey="{7A3B4F0B-4879-4A32-9937-3B102D5592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D51"/>
    <w:rsid w:val="002A1D51"/>
    <w:rsid w:val="005555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AF594-CB89-4F95-9A9C-E215A30B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Prrafodelista">
    <w:name w:val="List Paragraph"/>
    <w:basedOn w:val="Normal"/>
    <w:uiPriority w:val="34"/>
    <w:qFormat/>
    <w:rsid w:val="007F5CD3"/>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amTImSw+urKta7Db/DWksfwiQ==">CgMxLjAyDmguemZrYmRqb3kzd3lpOAByITFWYlBiU1JpRVFfTUhfQ0Nqa0h4bFV2WE55REJURGw2eQ==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539</Words>
  <Characters>2970</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2</cp:revision>
  <dcterms:created xsi:type="dcterms:W3CDTF">2026-05-22T15:01:00Z</dcterms:created>
  <dcterms:modified xsi:type="dcterms:W3CDTF">2026-05-22T15:01:00Z</dcterms:modified>
</cp:coreProperties>
</file>