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540" w:rsidRDefault="00151540" w:rsidP="006C5E33">
      <w:pPr>
        <w:rPr>
          <w:rFonts w:ascii="Century Gothic" w:hAnsi="Century Gothic"/>
          <w:b/>
          <w:u w:val="single"/>
          <w:lang w:val="es-ES"/>
        </w:rPr>
      </w:pPr>
    </w:p>
    <w:p w:rsidR="006C5E33" w:rsidRDefault="006C5E33" w:rsidP="006C5E33">
      <w:pPr>
        <w:pStyle w:val="NormalWeb"/>
      </w:pPr>
      <w:bookmarkStart w:id="0" w:name="_GoBack"/>
      <w:r>
        <w:rPr>
          <w:noProof/>
        </w:rPr>
        <w:drawing>
          <wp:inline distT="0" distB="0" distL="0" distR="0" wp14:anchorId="3255C17E" wp14:editId="1DA6F0EF">
            <wp:extent cx="6858000" cy="1371600"/>
            <wp:effectExtent l="0" t="0" r="0" b="0"/>
            <wp:docPr id="1" name="Imagen 1" descr="C:\Users\senado\Desktop\WhatsApp Image 2026-02-25 at 08.3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nado\Desktop\WhatsApp Image 2026-02-25 at 08.30.0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51540" w:rsidRDefault="00151540" w:rsidP="006C5E33">
      <w:pPr>
        <w:rPr>
          <w:rFonts w:ascii="Century Gothic" w:hAnsi="Century Gothic"/>
          <w:b/>
          <w:lang w:val="es-ES"/>
        </w:rPr>
      </w:pPr>
    </w:p>
    <w:p w:rsidR="00151540" w:rsidRDefault="00151540" w:rsidP="00151540">
      <w:pPr>
        <w:jc w:val="center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LA LEGISLATURA DE LA PROVINCIA DE ENTRE RÍOS SANCIONA CON FUERZA DE</w:t>
      </w:r>
    </w:p>
    <w:p w:rsidR="00151540" w:rsidRPr="00CF3FE5" w:rsidRDefault="00151540" w:rsidP="00151540">
      <w:pPr>
        <w:jc w:val="center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lang w:val="es-ES"/>
        </w:rPr>
        <w:t>LEY:</w:t>
      </w:r>
    </w:p>
    <w:p w:rsidR="00151540" w:rsidRDefault="00151540" w:rsidP="00151540">
      <w:pPr>
        <w:jc w:val="both"/>
        <w:rPr>
          <w:rFonts w:ascii="Century Gothic" w:hAnsi="Century Gothic"/>
          <w:lang w:val="es-ES"/>
        </w:rPr>
      </w:pPr>
      <w:r w:rsidRPr="00136D4A">
        <w:rPr>
          <w:rFonts w:ascii="Century Gothic" w:hAnsi="Century Gothic"/>
          <w:b/>
          <w:lang w:val="es-ES"/>
        </w:rPr>
        <w:t>A</w:t>
      </w:r>
      <w:r>
        <w:rPr>
          <w:rFonts w:ascii="Century Gothic" w:hAnsi="Century Gothic"/>
          <w:b/>
          <w:lang w:val="es-ES"/>
        </w:rPr>
        <w:t xml:space="preserve">RTÍCULO 1°.- </w:t>
      </w:r>
      <w:r w:rsidR="006C5E33">
        <w:rPr>
          <w:rFonts w:ascii="Century Gothic" w:hAnsi="Century Gothic"/>
          <w:lang w:val="es-ES"/>
        </w:rPr>
        <w:t>Modificase</w:t>
      </w:r>
      <w:r>
        <w:rPr>
          <w:rFonts w:ascii="Century Gothic" w:hAnsi="Century Gothic"/>
          <w:lang w:val="es-ES"/>
        </w:rPr>
        <w:t xml:space="preserve"> el Artículo 14° de la Ley N° 11.240, el que quedará redactado de la siguiente manera:</w:t>
      </w:r>
    </w:p>
    <w:p w:rsidR="00151540" w:rsidRPr="00695F4A" w:rsidRDefault="00151540" w:rsidP="00151540">
      <w:pPr>
        <w:ind w:left="567" w:right="424"/>
        <w:jc w:val="both"/>
        <w:rPr>
          <w:rFonts w:ascii="Century Gothic" w:hAnsi="Century Gothic"/>
          <w:i/>
          <w:lang w:val="es-ES"/>
        </w:rPr>
      </w:pPr>
      <w:r w:rsidRPr="00695F4A">
        <w:rPr>
          <w:rFonts w:ascii="Century Gothic" w:hAnsi="Century Gothic"/>
          <w:i/>
          <w:lang w:val="es-ES"/>
        </w:rPr>
        <w:t>“</w:t>
      </w:r>
      <w:r w:rsidRPr="00695F4A">
        <w:rPr>
          <w:rFonts w:ascii="Century Gothic" w:hAnsi="Century Gothic"/>
          <w:b/>
          <w:i/>
          <w:lang w:val="es-ES"/>
        </w:rPr>
        <w:t>Artículo 14°.- Tope.</w:t>
      </w:r>
      <w:r>
        <w:rPr>
          <w:rFonts w:ascii="Century Gothic" w:hAnsi="Century Gothic"/>
          <w:i/>
          <w:lang w:val="es-ES"/>
        </w:rPr>
        <w:t xml:space="preserve"> El costo fiscal anual del </w:t>
      </w:r>
      <w:r w:rsidRPr="00596334">
        <w:rPr>
          <w:rFonts w:ascii="Century Gothic" w:hAnsi="Century Gothic"/>
          <w:i/>
          <w:lang w:val="es-ES"/>
        </w:rPr>
        <w:t xml:space="preserve">régimen será fijado para cada ejercicio fiscal por el Poder Ejecutivo, el que no podrá exceder del </w:t>
      </w:r>
      <w:r w:rsidRPr="00596334">
        <w:rPr>
          <w:rFonts w:ascii="Century Gothic" w:hAnsi="Century Gothic"/>
          <w:i/>
        </w:rPr>
        <w:t>cinco por ciento (5%) de la recaudación anual del Impuesto sobre los Ingresos Brutos del año calendario anterior</w:t>
      </w:r>
      <w:r w:rsidRPr="00596334">
        <w:rPr>
          <w:rFonts w:ascii="Century Gothic" w:hAnsi="Century Gothic"/>
          <w:i/>
          <w:lang w:val="es-ES"/>
        </w:rPr>
        <w:t>”.</w:t>
      </w:r>
    </w:p>
    <w:p w:rsidR="00151540" w:rsidRDefault="00151540" w:rsidP="00151540">
      <w:pPr>
        <w:jc w:val="both"/>
        <w:rPr>
          <w:rFonts w:ascii="Century Gothic" w:hAnsi="Century Gothic"/>
          <w:b/>
          <w:lang w:val="es-ES"/>
        </w:rPr>
      </w:pPr>
    </w:p>
    <w:p w:rsidR="00151540" w:rsidRDefault="00151540" w:rsidP="00151540">
      <w:pPr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b/>
          <w:lang w:val="es-ES"/>
        </w:rPr>
        <w:t xml:space="preserve">ARTÍCULO 2°.- </w:t>
      </w:r>
      <w:r>
        <w:rPr>
          <w:rFonts w:ascii="Century Gothic" w:hAnsi="Century Gothic"/>
          <w:lang w:val="es-ES"/>
        </w:rPr>
        <w:t>Modifíquese el Artículo 15° de la Ley N° 11.240, el que quedará redactado de la siguiente forma:</w:t>
      </w:r>
    </w:p>
    <w:p w:rsidR="00151540" w:rsidRPr="00F83423" w:rsidRDefault="00151540" w:rsidP="00151540">
      <w:pPr>
        <w:ind w:left="567" w:right="424"/>
        <w:jc w:val="both"/>
        <w:rPr>
          <w:rFonts w:ascii="Century Gothic" w:hAnsi="Century Gothic"/>
          <w:i/>
          <w:lang w:val="es-ES"/>
        </w:rPr>
      </w:pPr>
      <w:r w:rsidRPr="00F83423">
        <w:rPr>
          <w:rFonts w:ascii="Century Gothic" w:hAnsi="Century Gothic"/>
          <w:i/>
          <w:lang w:val="es-ES"/>
        </w:rPr>
        <w:t>“</w:t>
      </w:r>
      <w:r w:rsidRPr="00F83423">
        <w:rPr>
          <w:rFonts w:ascii="Century Gothic" w:hAnsi="Century Gothic"/>
          <w:b/>
          <w:i/>
          <w:lang w:val="es-ES"/>
        </w:rPr>
        <w:t xml:space="preserve">Artículo 15°.- Incentivo fiscal. </w:t>
      </w:r>
      <w:r w:rsidRPr="00F83423">
        <w:rPr>
          <w:rFonts w:ascii="Century Gothic" w:hAnsi="Century Gothic"/>
          <w:i/>
          <w:lang w:val="es-ES"/>
        </w:rPr>
        <w:t xml:space="preserve">Las personas humanas o jurídicas que actúen como mecenas podrán deducir del impuesto a pagar sobre los Ingresos Brutos un monto equivalente al aporte realizado, hasta un máximo del </w:t>
      </w:r>
      <w:r w:rsidRPr="00F83423">
        <w:rPr>
          <w:rFonts w:ascii="Century Gothic" w:hAnsi="Century Gothic" w:cstheme="minorHAnsi"/>
          <w:i/>
          <w:lang w:val="es-ES"/>
        </w:rPr>
        <w:t>doce por ciento (12%) de su determinación anual del Impuesto sobre los Ingresos Brutos de la provincia de Entre Ríos del ejercicio fiscal anterior al del aporte.</w:t>
      </w:r>
    </w:p>
    <w:p w:rsidR="00151540" w:rsidRPr="00F83423" w:rsidRDefault="00151540" w:rsidP="00151540">
      <w:pPr>
        <w:ind w:left="567" w:right="424"/>
        <w:jc w:val="both"/>
        <w:rPr>
          <w:rFonts w:ascii="Century Gothic" w:hAnsi="Century Gothic"/>
          <w:i/>
          <w:lang w:val="es-ES"/>
        </w:rPr>
      </w:pPr>
      <w:r w:rsidRPr="00F83423">
        <w:rPr>
          <w:rFonts w:ascii="Century Gothic" w:hAnsi="Century Gothic"/>
          <w:i/>
          <w:lang w:val="es-ES"/>
        </w:rPr>
        <w:t>La deducción no podrá superar mensualmente el treinta por ciento (30%) del impuesto determinado del mes anterior en que la misma se realiza, pudiendo aplicar el saldo en los meses subsiguientes.</w:t>
      </w:r>
    </w:p>
    <w:p w:rsidR="00151540" w:rsidRDefault="00151540" w:rsidP="00151540">
      <w:pPr>
        <w:ind w:left="567" w:right="424"/>
        <w:jc w:val="both"/>
        <w:rPr>
          <w:rFonts w:ascii="Century Gothic" w:hAnsi="Century Gothic" w:cstheme="minorHAnsi"/>
          <w:i/>
          <w:lang w:val="es-ES"/>
        </w:rPr>
      </w:pPr>
      <w:r w:rsidRPr="00151540">
        <w:rPr>
          <w:rFonts w:ascii="Century Gothic" w:hAnsi="Century Gothic"/>
          <w:i/>
        </w:rPr>
        <w:t>La Administradora Tributaria de Entre Ríos dictará las normas reglamentarias, aclaratorias y complementarias necesarias para la implementación, acreditación, cómputo y control del presente beneficio, pudiendo establecer las formalidades, procedimientos y requisitos que deberán observar los sujetos alcanzados</w:t>
      </w:r>
      <w:r w:rsidRPr="004E36FC">
        <w:rPr>
          <w:rFonts w:ascii="Century Gothic" w:hAnsi="Century Gothic" w:cstheme="minorHAnsi"/>
          <w:i/>
          <w:lang w:val="es-ES"/>
        </w:rPr>
        <w:t>”.</w:t>
      </w:r>
    </w:p>
    <w:p w:rsidR="00151540" w:rsidRDefault="00151540" w:rsidP="00151540">
      <w:pPr>
        <w:ind w:left="567" w:right="424"/>
        <w:jc w:val="both"/>
        <w:rPr>
          <w:rFonts w:ascii="Century Gothic" w:hAnsi="Century Gothic"/>
          <w:i/>
          <w:lang w:val="es-ES"/>
        </w:rPr>
      </w:pPr>
    </w:p>
    <w:p w:rsidR="00151540" w:rsidRPr="004E36FC" w:rsidRDefault="00151540" w:rsidP="00151540">
      <w:pPr>
        <w:ind w:right="-1"/>
        <w:jc w:val="both"/>
        <w:rPr>
          <w:rFonts w:ascii="Century Gothic" w:hAnsi="Century Gothic"/>
          <w:lang w:val="es-ES"/>
        </w:rPr>
      </w:pPr>
      <w:r>
        <w:rPr>
          <w:rFonts w:ascii="Century Gothic" w:hAnsi="Century Gothic"/>
          <w:b/>
          <w:u w:val="single"/>
          <w:lang w:val="es-ES"/>
        </w:rPr>
        <w:t>ARTÍCULO 3°</w:t>
      </w:r>
      <w:r>
        <w:rPr>
          <w:rFonts w:ascii="Century Gothic" w:hAnsi="Century Gothic"/>
          <w:b/>
          <w:lang w:val="es-ES"/>
        </w:rPr>
        <w:t xml:space="preserve">.- </w:t>
      </w:r>
      <w:r>
        <w:rPr>
          <w:rFonts w:ascii="Century Gothic" w:hAnsi="Century Gothic"/>
          <w:lang w:val="es-ES"/>
        </w:rPr>
        <w:t>De forma.</w:t>
      </w:r>
    </w:p>
    <w:p w:rsidR="006C5E33" w:rsidRDefault="006C5E33" w:rsidP="006C5E33">
      <w:pPr>
        <w:pStyle w:val="NormalWeb"/>
      </w:pPr>
      <w:r>
        <w:rPr>
          <w:noProof/>
        </w:rPr>
        <w:lastRenderedPageBreak/>
        <w:drawing>
          <wp:inline distT="0" distB="0" distL="0" distR="0" wp14:anchorId="0F606A01" wp14:editId="64AF3347">
            <wp:extent cx="6858000" cy="1371600"/>
            <wp:effectExtent l="0" t="0" r="0" b="0"/>
            <wp:docPr id="2" name="Imagen 2" descr="C:\Users\senado\Desktop\WhatsApp Image 2026-02-25 at 08.30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nado\Desktop\WhatsApp Image 2026-02-25 at 08.30.06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5E33" w:rsidRDefault="006C5E33" w:rsidP="00151540"/>
    <w:p w:rsidR="00EB7B30" w:rsidRDefault="00EB7B30" w:rsidP="00151540">
      <w:pPr>
        <w:rPr>
          <w:rFonts w:ascii="Bookman Old Style" w:hAnsi="Bookman Old Style"/>
          <w:b/>
          <w:sz w:val="28"/>
          <w:szCs w:val="28"/>
        </w:rPr>
      </w:pPr>
    </w:p>
    <w:p w:rsidR="00151540" w:rsidRPr="0006541E" w:rsidRDefault="006C5E33" w:rsidP="00151540">
      <w:pPr>
        <w:rPr>
          <w:rFonts w:ascii="Bookman Old Style" w:hAnsi="Bookman Old Style"/>
          <w:b/>
          <w:sz w:val="28"/>
          <w:szCs w:val="28"/>
        </w:rPr>
      </w:pPr>
      <w:r w:rsidRPr="0006541E">
        <w:rPr>
          <w:rFonts w:ascii="Bookman Old Style" w:hAnsi="Bookman Old Style"/>
          <w:b/>
          <w:sz w:val="28"/>
          <w:szCs w:val="28"/>
        </w:rPr>
        <w:t>FUNDAMENTOS</w:t>
      </w:r>
    </w:p>
    <w:p w:rsidR="00EB7B30" w:rsidRDefault="00EB7B30" w:rsidP="0006541E">
      <w:pPr>
        <w:jc w:val="both"/>
        <w:rPr>
          <w:rFonts w:ascii="Bookman Old Style" w:hAnsi="Bookman Old Style"/>
          <w:sz w:val="24"/>
          <w:szCs w:val="24"/>
        </w:rPr>
      </w:pPr>
    </w:p>
    <w:p w:rsidR="000A2F12" w:rsidRPr="0006541E" w:rsidRDefault="00EB3516" w:rsidP="0006541E">
      <w:pPr>
        <w:jc w:val="both"/>
        <w:rPr>
          <w:rFonts w:ascii="Bookman Old Style" w:hAnsi="Bookman Old Style"/>
          <w:sz w:val="24"/>
          <w:szCs w:val="24"/>
        </w:rPr>
      </w:pPr>
      <w:r w:rsidRPr="0006541E">
        <w:rPr>
          <w:rFonts w:ascii="Bookman Old Style" w:hAnsi="Bookman Old Style"/>
          <w:sz w:val="24"/>
          <w:szCs w:val="24"/>
        </w:rPr>
        <w:t>El presente proyecto de Ley tiene por finalidad modificar los artículos 14 y 15 de la Ley Nº: 11.240, con el objetivo de potenciar el régimen de mecenazgo como herramienta de inversión social privada.</w:t>
      </w:r>
    </w:p>
    <w:p w:rsidR="00EB3516" w:rsidRPr="0006541E" w:rsidRDefault="00EB3516" w:rsidP="0006541E">
      <w:pPr>
        <w:jc w:val="both"/>
        <w:rPr>
          <w:rFonts w:ascii="Bookman Old Style" w:hAnsi="Bookman Old Style"/>
          <w:sz w:val="24"/>
          <w:szCs w:val="24"/>
        </w:rPr>
      </w:pPr>
      <w:r w:rsidRPr="0006541E">
        <w:rPr>
          <w:rFonts w:ascii="Bookman Old Style" w:hAnsi="Bookman Old Style"/>
          <w:sz w:val="24"/>
          <w:szCs w:val="24"/>
        </w:rPr>
        <w:t xml:space="preserve">Esta iniciativa tiene como objetivo mejorar el incentivo económico dirigido al sector privado, aun cuando ello implique </w:t>
      </w:r>
      <w:r w:rsidR="003445B7" w:rsidRPr="0006541E">
        <w:rPr>
          <w:rFonts w:ascii="Bookman Old Style" w:hAnsi="Bookman Old Style"/>
          <w:sz w:val="24"/>
          <w:szCs w:val="24"/>
        </w:rPr>
        <w:t>un mayor costo fiscal, en el entendimiento de que dicha política constituye una inversión indirecta del Estado Provincial en el desarrollo deportivo y social.</w:t>
      </w:r>
    </w:p>
    <w:p w:rsidR="003445B7" w:rsidRPr="0006541E" w:rsidRDefault="003445B7" w:rsidP="0006541E">
      <w:pPr>
        <w:jc w:val="both"/>
        <w:rPr>
          <w:rFonts w:ascii="Bookman Old Style" w:hAnsi="Bookman Old Style"/>
          <w:sz w:val="24"/>
          <w:szCs w:val="24"/>
        </w:rPr>
      </w:pPr>
      <w:r w:rsidRPr="0006541E">
        <w:rPr>
          <w:rFonts w:ascii="Bookman Old Style" w:hAnsi="Bookman Old Style"/>
          <w:sz w:val="24"/>
          <w:szCs w:val="24"/>
        </w:rPr>
        <w:t xml:space="preserve">En este sentido, el régimen vigente consolida un modelo de participación privada, incentivando su </w:t>
      </w:r>
      <w:r w:rsidR="00525C30" w:rsidRPr="0006541E">
        <w:rPr>
          <w:rFonts w:ascii="Bookman Old Style" w:hAnsi="Bookman Old Style"/>
          <w:sz w:val="24"/>
          <w:szCs w:val="24"/>
        </w:rPr>
        <w:t>interacción</w:t>
      </w:r>
      <w:r w:rsidRPr="0006541E">
        <w:rPr>
          <w:rFonts w:ascii="Bookman Old Style" w:hAnsi="Bookman Old Style"/>
          <w:sz w:val="24"/>
          <w:szCs w:val="24"/>
        </w:rPr>
        <w:t xml:space="preserve"> y complementando la acción del gobierno de la Provincia de Entre Ríos.</w:t>
      </w:r>
    </w:p>
    <w:p w:rsidR="00525C30" w:rsidRPr="0006541E" w:rsidRDefault="003445B7" w:rsidP="0006541E">
      <w:pPr>
        <w:jc w:val="both"/>
        <w:rPr>
          <w:rFonts w:ascii="Bookman Old Style" w:hAnsi="Bookman Old Style"/>
          <w:sz w:val="24"/>
          <w:szCs w:val="24"/>
        </w:rPr>
      </w:pPr>
      <w:r w:rsidRPr="0006541E">
        <w:rPr>
          <w:rFonts w:ascii="Bookman Old Style" w:hAnsi="Bookman Old Style"/>
          <w:sz w:val="24"/>
          <w:szCs w:val="24"/>
        </w:rPr>
        <w:t>La experiencia demuestra que, cuando los incentivos son claros</w:t>
      </w:r>
      <w:r w:rsidR="00525C30" w:rsidRPr="0006541E">
        <w:rPr>
          <w:rFonts w:ascii="Bookman Old Style" w:hAnsi="Bookman Old Style"/>
          <w:sz w:val="24"/>
          <w:szCs w:val="24"/>
        </w:rPr>
        <w:t xml:space="preserve"> y suficientes, el empresariado entrerriano responde positivamente, generando un círculo virtuoso de inversión, desarrollo e integración social.</w:t>
      </w:r>
    </w:p>
    <w:p w:rsidR="00525C30" w:rsidRPr="0006541E" w:rsidRDefault="00525C30" w:rsidP="0006541E">
      <w:pPr>
        <w:jc w:val="both"/>
        <w:rPr>
          <w:rFonts w:ascii="Bookman Old Style" w:hAnsi="Bookman Old Style"/>
          <w:sz w:val="24"/>
          <w:szCs w:val="24"/>
        </w:rPr>
      </w:pPr>
      <w:r w:rsidRPr="0006541E">
        <w:rPr>
          <w:rFonts w:ascii="Bookman Old Style" w:hAnsi="Bookman Old Style"/>
          <w:sz w:val="24"/>
          <w:szCs w:val="24"/>
        </w:rPr>
        <w:t xml:space="preserve">Respecto del </w:t>
      </w:r>
      <w:r w:rsidR="0006541E" w:rsidRPr="0006541E">
        <w:rPr>
          <w:rFonts w:ascii="Bookman Old Style" w:hAnsi="Bookman Old Style"/>
          <w:sz w:val="24"/>
          <w:szCs w:val="24"/>
        </w:rPr>
        <w:t>Artículo</w:t>
      </w:r>
      <w:r w:rsidRPr="0006541E">
        <w:rPr>
          <w:rFonts w:ascii="Bookman Old Style" w:hAnsi="Bookman Old Style"/>
          <w:sz w:val="24"/>
          <w:szCs w:val="24"/>
        </w:rPr>
        <w:t xml:space="preserve"> 14 del texto legal se mantiene el tope máximo de cinco por ciento (5%) y se reconoce la potestad del Poder Ejecutivo de fijar anualmente el porcentaje efectivo de afectación, en función de </w:t>
      </w:r>
      <w:r w:rsidR="0006541E" w:rsidRPr="0006541E">
        <w:rPr>
          <w:rFonts w:ascii="Bookman Old Style" w:hAnsi="Bookman Old Style"/>
          <w:sz w:val="24"/>
          <w:szCs w:val="24"/>
        </w:rPr>
        <w:t>la condición económica, fiscal y presupuestaria</w:t>
      </w:r>
      <w:r w:rsidRPr="0006541E">
        <w:rPr>
          <w:rFonts w:ascii="Bookman Old Style" w:hAnsi="Bookman Old Style"/>
          <w:sz w:val="24"/>
          <w:szCs w:val="24"/>
        </w:rPr>
        <w:t xml:space="preserve"> de cada ejercicio.</w:t>
      </w:r>
    </w:p>
    <w:p w:rsidR="00525C30" w:rsidRPr="0006541E" w:rsidRDefault="00525C30" w:rsidP="0006541E">
      <w:pPr>
        <w:jc w:val="both"/>
        <w:rPr>
          <w:rFonts w:ascii="Bookman Old Style" w:hAnsi="Bookman Old Style"/>
          <w:sz w:val="24"/>
          <w:szCs w:val="24"/>
        </w:rPr>
      </w:pPr>
      <w:r w:rsidRPr="0006541E">
        <w:rPr>
          <w:rFonts w:ascii="Bookman Old Style" w:hAnsi="Bookman Old Style"/>
          <w:sz w:val="24"/>
          <w:szCs w:val="24"/>
        </w:rPr>
        <w:t>Con relación al Articulo 15 de incentivo fiscal</w:t>
      </w:r>
      <w:r w:rsidR="00EB7B30">
        <w:rPr>
          <w:rFonts w:ascii="Bookman Old Style" w:hAnsi="Bookman Old Style"/>
          <w:sz w:val="24"/>
          <w:szCs w:val="24"/>
        </w:rPr>
        <w:t xml:space="preserve">, se establece con claridad la posibilidad de deducir del impuesto sobre los Ingresos Brutos el monto equivalente al aporte realizado, configurando un incentivo directo y claro, al mismo tiempo que mantiene limites y mecanismos de imputación que garantizan un uso ordenado del beneficio.- </w:t>
      </w:r>
    </w:p>
    <w:p w:rsidR="003445B7" w:rsidRPr="0006541E" w:rsidRDefault="003445B7" w:rsidP="0006541E">
      <w:pPr>
        <w:jc w:val="both"/>
        <w:rPr>
          <w:rFonts w:ascii="Bookman Old Style" w:hAnsi="Bookman Old Style"/>
          <w:sz w:val="24"/>
          <w:szCs w:val="24"/>
        </w:rPr>
      </w:pPr>
    </w:p>
    <w:sectPr w:rsidR="003445B7" w:rsidRPr="00065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40"/>
    <w:rsid w:val="00037D3A"/>
    <w:rsid w:val="0006541E"/>
    <w:rsid w:val="00151540"/>
    <w:rsid w:val="003445B7"/>
    <w:rsid w:val="00525C30"/>
    <w:rsid w:val="006C5E33"/>
    <w:rsid w:val="00A8222B"/>
    <w:rsid w:val="00B50FB7"/>
    <w:rsid w:val="00C52EDA"/>
    <w:rsid w:val="00EB3516"/>
    <w:rsid w:val="00EB7B30"/>
    <w:rsid w:val="00F83423"/>
    <w:rsid w:val="00FD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780902-031F-4BD7-B02F-DCFC85F2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C5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5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5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94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457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disetica</Company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Pereyra, Javier Orlando</dc:creator>
  <cp:lastModifiedBy>Cuenta Microsoft</cp:lastModifiedBy>
  <cp:revision>4</cp:revision>
  <cp:lastPrinted>2026-05-06T13:31:00Z</cp:lastPrinted>
  <dcterms:created xsi:type="dcterms:W3CDTF">2026-04-28T17:59:00Z</dcterms:created>
  <dcterms:modified xsi:type="dcterms:W3CDTF">2026-05-06T14:31:00Z</dcterms:modified>
</cp:coreProperties>
</file>