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PROYECTO DE DECLARACIÓN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Autor:</w:t>
      </w:r>
      <w:r w:rsidDel="00000000" w:rsidR="00000000" w:rsidRPr="00000000">
        <w:rPr>
          <w:sz w:val="24"/>
          <w:szCs w:val="24"/>
          <w:rtl w:val="0"/>
        </w:rPr>
        <w:t xml:space="preserve"> Marcelo Fabián Berthet. 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Objeto: </w:t>
      </w:r>
      <w:r w:rsidDel="00000000" w:rsidR="00000000" w:rsidRPr="00000000">
        <w:rPr>
          <w:sz w:val="24"/>
          <w:szCs w:val="24"/>
          <w:rtl w:val="0"/>
        </w:rPr>
        <w:t xml:space="preserve">Declarar de interés cultural y social la presentación del libro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“Vida Cotidiana y Dictadura” </w:t>
      </w:r>
      <w:r w:rsidDel="00000000" w:rsidR="00000000" w:rsidRPr="00000000">
        <w:rPr>
          <w:sz w:val="24"/>
          <w:szCs w:val="24"/>
          <w:rtl w:val="0"/>
        </w:rPr>
        <w:t xml:space="preserve">de Editorial UADER, en el Instituto de Educación Superior de San Salvador. 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FUNDAMENTOS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SEÑORA PRESIDENTA: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marco de las actividades conmemorativas a 50 años del Golpe de Estado, el Instituto de Educación Superior de San Salvador junto a AGMER San Salvador invitan a la presentación del libro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“Vida cotidiana y dictadura. Narrativas, territorialidad y huellas de la memoria</w:t>
      </w:r>
      <w:r w:rsidDel="00000000" w:rsidR="00000000" w:rsidRPr="00000000">
        <w:rPr>
          <w:sz w:val="24"/>
          <w:szCs w:val="24"/>
          <w:rtl w:val="0"/>
        </w:rPr>
        <w:t xml:space="preserve">” de Editorial UADER, a realizarse en San Salvador el 8 de mayo en la sede del Instituto Superior.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obra, surge de una compilación de las docentes investigadoras Rosario Badano y Virginia Pisarello, y reúne un trabajo de investigación desarrollado en el ámbito de la FHAyCS-UADER, basado en el análisis de archivos documentales y fuentes orales que permiten reconstruir las prácticas genocidas ejercidas durante la última dictadura cívico-militar.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partir de testimonios de personas que se reconocen como no militantes, el libro aporta perspectivas significativas sobre las formas en que el miedo, el silencio, el desconocimiento y la negación se integraron en la vida cotidiana, dejando huellas profundas en los vínculos sociales.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obra nos permite conocer y reconocernos en relatos indispensables para comprender la historia reciente, poniendo en valor la memoria colectiva como un proceso activo de reflexión y construcción social.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autores y autoras de la obra son Lucia Tejera, Ignacio Journé, Osvaldo del Monte, Karen Balcar, Rosana Ramírez, Eduardo Ojeda, María Luisa Grianta, Valeria Fernández y Alfredo Hoffman.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Montserrat" w:cs="Montserrat" w:eastAsia="Montserrat" w:hAnsi="Montserrat"/>
          <w:color w:val="25252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50 años del Golpe, esta presentación invita a la comunidad a acercarse, leer, reflexionar colectivamente, reafirmando el compromiso con la memoria, la verdad y la construcción de una sociedad más justa.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Montserrat" w:cs="Montserrat" w:eastAsia="Montserrat" w:hAnsi="Montserrat"/>
          <w:i w:val="1"/>
          <w:iCs w:val="1"/>
          <w:color w:val="25252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HONORABLE CÁMARA DE SENADORES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LA PROVINCIA DE ENTRE RÍOS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 E C L A R A:</w:t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PRIMERO: </w:t>
      </w:r>
      <w:r w:rsidDel="00000000" w:rsidR="00000000" w:rsidRPr="00000000">
        <w:rPr>
          <w:sz w:val="24"/>
          <w:szCs w:val="24"/>
          <w:rtl w:val="0"/>
        </w:rPr>
        <w:t xml:space="preserve">De interés cultural y social la  presentación del libro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“Vida cotidiana y dictadura. Narrativas, territorialidad y huellas de la memoria</w:t>
      </w:r>
      <w:r w:rsidDel="00000000" w:rsidR="00000000" w:rsidRPr="00000000">
        <w:rPr>
          <w:sz w:val="24"/>
          <w:szCs w:val="24"/>
          <w:rtl w:val="0"/>
        </w:rPr>
        <w:t xml:space="preserve">” de Editorial UADER, a realizarse en San Salvador el 8 de mayo en el Instituto de Educación Superior de la Ciudad de San Salvador en el marco de las actividades conmemorativas a 50 años del Golpe de Estado. </w:t>
      </w:r>
    </w:p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SEGUNDO:</w:t>
      </w:r>
      <w:r w:rsidDel="00000000" w:rsidR="00000000" w:rsidRPr="00000000">
        <w:rPr>
          <w:sz w:val="24"/>
          <w:szCs w:val="24"/>
          <w:rtl w:val="0"/>
        </w:rPr>
        <w:t xml:space="preserve"> Comuníquese y remítase copia de la presente a las autoridades del Instituto de Educación Superior de San Salvador y de AGMER San Salvador como instituciones organizadoras. </w:t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1595438" cy="98520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9852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