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727D8">
      <w:pPr>
        <w:keepNext w:val="0"/>
        <w:keepLines w:val="0"/>
        <w:widowControl/>
        <w:suppressLineNumbers w:val="0"/>
        <w:spacing w:before="0" w:beforeAutospacing="0" w:after="160" w:afterAutospacing="0" w:line="256" w:lineRule="auto"/>
        <w:ind w:right="0" w:firstLine="2940" w:firstLineChars="1050"/>
        <w:jc w:val="left"/>
        <w:rPr>
          <w:rFonts w:hint="default" w:ascii="Arial" w:hAnsi="Arial" w:eastAsia="Calibri" w:cs="Arial"/>
          <w:kern w:val="0"/>
          <w:sz w:val="24"/>
          <w:szCs w:val="24"/>
          <w:lang w:eastAsia="zh-CN" w:bidi="ar"/>
        </w:rPr>
      </w:pPr>
      <w:bookmarkStart w:id="0" w:name="_GoBack"/>
      <w:r>
        <w:rPr>
          <w:rFonts w:hint="default" w:ascii="Arial" w:hAnsi="Arial" w:eastAsia="Calibri" w:cs="Arial"/>
          <w:kern w:val="0"/>
          <w:sz w:val="28"/>
          <w:szCs w:val="28"/>
          <w:u w:val="single"/>
          <w:lang w:val="es-ES" w:eastAsia="zh-CN" w:bidi="ar"/>
        </w:rPr>
        <w:t>FUNDAMENTOS</w:t>
      </w:r>
      <w:r>
        <w:rPr>
          <w:rFonts w:hint="default" w:ascii="Arial" w:hAnsi="Arial" w:eastAsia="Calibri" w:cs="Arial"/>
          <w:kern w:val="0"/>
          <w:sz w:val="24"/>
          <w:szCs w:val="24"/>
          <w:lang w:eastAsia="zh-CN" w:bidi="ar"/>
        </w:rPr>
        <w:t xml:space="preserve"> </w:t>
      </w:r>
    </w:p>
    <w:bookmarkEnd w:id="0"/>
    <w:p w14:paraId="51B6EFA3">
      <w:pPr>
        <w:keepNext w:val="0"/>
        <w:keepLines w:val="0"/>
        <w:widowControl/>
        <w:suppressLineNumbers w:val="0"/>
        <w:spacing w:before="0" w:beforeAutospacing="0" w:after="160" w:afterAutospacing="0" w:line="256" w:lineRule="auto"/>
        <w:ind w:left="0" w:right="0" w:firstLine="3530" w:firstLineChars="1471"/>
        <w:jc w:val="both"/>
        <w:rPr>
          <w:rFonts w:hint="default" w:ascii="Arial" w:hAnsi="Arial" w:eastAsia="Calibri" w:cs="Arial"/>
          <w:kern w:val="0"/>
          <w:sz w:val="24"/>
          <w:szCs w:val="24"/>
          <w:lang w:eastAsia="zh-CN" w:bidi="ar"/>
        </w:rPr>
      </w:pPr>
    </w:p>
    <w:p w14:paraId="627BAB19">
      <w:pPr>
        <w:keepNext w:val="0"/>
        <w:keepLines w:val="0"/>
        <w:widowControl/>
        <w:suppressLineNumbers w:val="0"/>
        <w:spacing w:before="0" w:beforeAutospacing="0" w:after="160" w:afterAutospacing="0" w:line="360" w:lineRule="auto"/>
        <w:ind w:left="0" w:right="0" w:firstLine="708" w:firstLineChars="0"/>
        <w:jc w:val="both"/>
        <w:rPr>
          <w:rFonts w:hint="default" w:ascii="Arial" w:hAnsi="Arial" w:eastAsia="Calibri" w:cs="Arial"/>
          <w:kern w:val="0"/>
          <w:sz w:val="24"/>
          <w:szCs w:val="24"/>
          <w:lang w:eastAsia="zh-CN" w:bidi="ar"/>
        </w:rPr>
      </w:pPr>
      <w:r>
        <w:rPr>
          <w:rFonts w:hint="default" w:ascii="Arial" w:hAnsi="Arial" w:eastAsia="Calibri" w:cs="Arial"/>
          <w:kern w:val="0"/>
          <w:sz w:val="24"/>
          <w:szCs w:val="24"/>
          <w:lang w:eastAsia="zh-CN" w:bidi="ar"/>
        </w:rPr>
        <w:t>Las Juntas de Gobierno del interior entrerriano son la primera línea de atención a los vecinos más alejados. Venían recibiendo un monto mensual que no alcanzaba los cinco millones de pesos en concepto de AMNR, calculado sobre la planilla de sueldos provinciales. Ese monto ya era insuficiente y hoy que ni tan solo recibe un peso están en situación desesperante y de cierre. Esta situación genera un riesgo concreto de paralización de servicios esenciales (agua, limpieza, mantenimiento y conservación de caminos, atención primaria) en localidades pequeñas. No se trata de argumentar cuestiones administrativas o de inicio de ejercicio, el nuevo ejercicio comenzó el 1° de enero, para fines de enero se debió estar en condiciones de hacer los libramientos correspondientes, solo hay que copiar los procedimientos, no hay que inventar nada. Que a mediados de marzo aún no se hayan enviado las remesas mensuales que les corresponden a las Juntas es una decisión política, no un problema técnico o administrativo. Esta situación genera un riesgo concreto de paralización de servicios esenciales, las Juntas son las que colaboran con Policía, con las escuelas con el cuidado y la atención de la salud. El Senado debe intervenir con urgencia para garantizar que el interior no quede sin los recursos mínimos para funcionar. La transparencia y el federalismo interno exigen respuestas concretas y rápidas.</w:t>
      </w:r>
    </w:p>
    <w:p w14:paraId="530D5612">
      <w:pPr>
        <w:rPr>
          <w:rFonts w:hint="default" w:ascii="Arial" w:hAnsi="Arial" w:eastAsia="Calibri" w:cs="Arial"/>
          <w:kern w:val="0"/>
          <w:sz w:val="24"/>
          <w:szCs w:val="24"/>
          <w:lang w:eastAsia="zh-CN" w:bidi="ar"/>
        </w:rPr>
      </w:pPr>
      <w:r>
        <w:rPr>
          <w:rFonts w:hint="default" w:ascii="Arial" w:hAnsi="Arial" w:eastAsia="Calibri" w:cs="Arial"/>
          <w:kern w:val="0"/>
          <w:sz w:val="24"/>
          <w:szCs w:val="24"/>
          <w:lang w:eastAsia="zh-CN" w:bidi="ar"/>
        </w:rPr>
        <w:br w:type="page"/>
      </w:r>
    </w:p>
    <w:p w14:paraId="40050584">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eastAsia="zh-CN" w:bidi="ar"/>
        </w:rPr>
      </w:pPr>
    </w:p>
    <w:p w14:paraId="517A8291">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eastAsia="zh-CN" w:bidi="ar"/>
        </w:rPr>
      </w:pPr>
    </w:p>
    <w:p w14:paraId="01532E78">
      <w:pPr>
        <w:widowControl w:val="0"/>
        <w:spacing w:after="0" w:line="360" w:lineRule="auto"/>
        <w:jc w:val="center"/>
        <w:rPr>
          <w:rFonts w:hint="default" w:ascii="Arial" w:hAnsi="Arial" w:eastAsia="Arial" w:cs="Arial"/>
          <w:b/>
          <w:sz w:val="24"/>
          <w:szCs w:val="24"/>
          <w:lang w:val="en-US" w:eastAsia="es-ES"/>
        </w:rPr>
      </w:pPr>
    </w:p>
    <w:p w14:paraId="2DB77F1D">
      <w:pPr>
        <w:widowControl w:val="0"/>
        <w:spacing w:after="0" w:line="360" w:lineRule="auto"/>
        <w:jc w:val="center"/>
        <w:rPr>
          <w:rFonts w:ascii="Arial" w:hAnsi="Arial" w:eastAsia="Arial" w:cs="Arial"/>
          <w:b/>
          <w:sz w:val="24"/>
          <w:szCs w:val="24"/>
        </w:rPr>
      </w:pPr>
      <w:r>
        <w:rPr>
          <w:rFonts w:ascii="Arial" w:hAnsi="Arial" w:eastAsia="Arial" w:cs="Arial"/>
          <w:b/>
          <w:sz w:val="24"/>
          <w:szCs w:val="24"/>
        </w:rPr>
        <w:t>PROYECTO DE COMUNICACIÓN</w:t>
      </w:r>
    </w:p>
    <w:p w14:paraId="15315997">
      <w:pPr>
        <w:widowControl w:val="0"/>
        <w:spacing w:after="0" w:line="360" w:lineRule="auto"/>
        <w:jc w:val="center"/>
        <w:rPr>
          <w:rFonts w:hint="default" w:ascii="Arial" w:hAnsi="Arial" w:eastAsia="Arial" w:cs="Arial"/>
          <w:b/>
          <w:sz w:val="24"/>
          <w:szCs w:val="24"/>
          <w:lang w:val="es-ES"/>
        </w:rPr>
      </w:pPr>
      <w:r>
        <w:rPr>
          <w:rFonts w:ascii="Arial" w:hAnsi="Arial" w:eastAsia="Arial" w:cs="Arial"/>
          <w:b/>
          <w:sz w:val="24"/>
          <w:szCs w:val="24"/>
        </w:rPr>
        <w:t>LA HONORABLE CÁMARA DE SENADORES DE</w:t>
      </w:r>
      <w:r>
        <w:rPr>
          <w:rFonts w:hint="default" w:ascii="Arial" w:hAnsi="Arial" w:eastAsia="Arial" w:cs="Arial"/>
          <w:b/>
          <w:sz w:val="24"/>
          <w:szCs w:val="24"/>
          <w:lang w:val="es-ES"/>
        </w:rPr>
        <w:t xml:space="preserve"> </w:t>
      </w:r>
    </w:p>
    <w:p w14:paraId="4F7F59DF">
      <w:pPr>
        <w:widowControl w:val="0"/>
        <w:spacing w:after="0" w:line="360" w:lineRule="auto"/>
        <w:jc w:val="center"/>
        <w:rPr>
          <w:rFonts w:hint="default" w:ascii="Arial" w:hAnsi="Arial" w:eastAsia="Arial" w:cs="Arial"/>
          <w:b/>
          <w:sz w:val="24"/>
          <w:szCs w:val="24"/>
          <w:lang w:val="es-ES"/>
        </w:rPr>
      </w:pPr>
      <w:r>
        <w:rPr>
          <w:rFonts w:hint="default" w:ascii="Arial" w:hAnsi="Arial" w:eastAsia="Arial" w:cs="Arial"/>
          <w:b/>
          <w:sz w:val="24"/>
          <w:szCs w:val="24"/>
          <w:lang w:val="es-ES"/>
        </w:rPr>
        <w:t>LA PROVINCIA DE ENTRE RÍOS</w:t>
      </w:r>
    </w:p>
    <w:p w14:paraId="1041EA83">
      <w:pPr>
        <w:widowControl w:val="0"/>
        <w:spacing w:after="0" w:line="360" w:lineRule="auto"/>
        <w:jc w:val="center"/>
        <w:rPr>
          <w:rFonts w:hint="default" w:ascii="Arial" w:hAnsi="Arial" w:eastAsia="Arial" w:cs="Arial"/>
          <w:b/>
          <w:sz w:val="24"/>
          <w:szCs w:val="24"/>
          <w:lang w:val="es-ES"/>
        </w:rPr>
      </w:pPr>
    </w:p>
    <w:p w14:paraId="1E2D0CED">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eastAsia="zh-CN" w:bidi="ar"/>
        </w:rPr>
      </w:pPr>
      <w:r>
        <w:rPr>
          <w:rFonts w:hint="default" w:ascii="Arial" w:hAnsi="Arial" w:eastAsia="Calibri" w:cs="Arial"/>
          <w:kern w:val="0"/>
          <w:sz w:val="24"/>
          <w:szCs w:val="24"/>
          <w:lang w:eastAsia="zh-CN" w:bidi="ar"/>
        </w:rPr>
        <w:t xml:space="preserve">Vería con agrado que el Poder Ejecutivo Provincial, a través del Ministerio de Gobierno y del Ministerio de Economía, adopte de manera urgente las siguientes medidas: </w:t>
      </w:r>
    </w:p>
    <w:p w14:paraId="358CB67E">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eastAsia="zh-CN" w:bidi="ar"/>
        </w:rPr>
      </w:pPr>
      <w:r>
        <w:rPr>
          <w:rFonts w:hint="default" w:ascii="Arial" w:hAnsi="Arial" w:eastAsia="Calibri" w:cs="Arial"/>
          <w:kern w:val="0"/>
          <w:sz w:val="24"/>
          <w:szCs w:val="24"/>
          <w:lang w:eastAsia="zh-CN" w:bidi="ar"/>
        </w:rPr>
        <w:t>Artículo 1°</w:t>
      </w:r>
      <w:r>
        <w:rPr>
          <w:rFonts w:hint="default" w:ascii="Arial" w:hAnsi="Arial" w:eastAsia="Calibri" w:cs="Arial"/>
          <w:kern w:val="0"/>
          <w:sz w:val="24"/>
          <w:szCs w:val="24"/>
          <w:lang w:val="es-ES" w:eastAsia="zh-CN" w:bidi="ar"/>
        </w:rPr>
        <w:t>-</w:t>
      </w:r>
      <w:r>
        <w:rPr>
          <w:rFonts w:hint="default" w:ascii="Arial" w:hAnsi="Arial" w:eastAsia="Calibri" w:cs="Arial"/>
          <w:kern w:val="0"/>
          <w:sz w:val="24"/>
          <w:szCs w:val="24"/>
          <w:lang w:eastAsia="zh-CN" w:bidi="ar"/>
        </w:rPr>
        <w:t xml:space="preserve"> Regularice de forma inmediata las transferencias mensuales adeudadas a todas las Juntas de Gobierno de la provincia, que no han recibido un solo peso desde el inicio del ejercicio 2026. </w:t>
      </w:r>
    </w:p>
    <w:p w14:paraId="717538E5">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eastAsia="zh-CN" w:bidi="ar"/>
        </w:rPr>
      </w:pPr>
      <w:r>
        <w:rPr>
          <w:rFonts w:hint="default" w:ascii="Arial" w:hAnsi="Arial" w:eastAsia="Calibri" w:cs="Arial"/>
          <w:kern w:val="0"/>
          <w:sz w:val="24"/>
          <w:szCs w:val="24"/>
          <w:lang w:eastAsia="zh-CN" w:bidi="ar"/>
        </w:rPr>
        <w:t>Artículo 2°</w:t>
      </w:r>
      <w:r>
        <w:rPr>
          <w:rFonts w:hint="default" w:ascii="Arial" w:hAnsi="Arial" w:eastAsia="Calibri" w:cs="Arial"/>
          <w:kern w:val="0"/>
          <w:sz w:val="24"/>
          <w:szCs w:val="24"/>
          <w:lang w:val="es-ES" w:eastAsia="zh-CN" w:bidi="ar"/>
        </w:rPr>
        <w:t>-</w:t>
      </w:r>
      <w:r>
        <w:rPr>
          <w:rFonts w:hint="default" w:ascii="Arial" w:hAnsi="Arial" w:eastAsia="Calibri" w:cs="Arial"/>
          <w:kern w:val="0"/>
          <w:sz w:val="24"/>
          <w:szCs w:val="24"/>
          <w:lang w:eastAsia="zh-CN" w:bidi="ar"/>
        </w:rPr>
        <w:t xml:space="preserve"> Remita a esta Honorable Cámara un informe detallado que contenga: a) Los motivos por los cuales las transferencias AMNR se encuentran suspendidas o reducidas a cero en el presente ejercicio</w:t>
      </w:r>
      <w:r>
        <w:rPr>
          <w:rFonts w:hint="default" w:ascii="Arial" w:hAnsi="Arial" w:eastAsia="Calibri" w:cs="Arial"/>
          <w:kern w:val="0"/>
          <w:sz w:val="24"/>
          <w:szCs w:val="24"/>
          <w:lang w:val="es-ES" w:eastAsia="zh-CN" w:bidi="ar"/>
        </w:rPr>
        <w:t>;</w:t>
      </w:r>
      <w:r>
        <w:rPr>
          <w:rFonts w:hint="default" w:ascii="Arial" w:hAnsi="Arial" w:eastAsia="Calibri" w:cs="Arial"/>
          <w:kern w:val="0"/>
          <w:sz w:val="24"/>
          <w:szCs w:val="24"/>
          <w:lang w:eastAsia="zh-CN" w:bidi="ar"/>
        </w:rPr>
        <w:t xml:space="preserve"> b) La metodología de cálculo actual del monto de los AMNR</w:t>
      </w:r>
      <w:r>
        <w:rPr>
          <w:rFonts w:hint="default" w:ascii="Arial" w:hAnsi="Arial" w:eastAsia="Calibri" w:cs="Arial"/>
          <w:kern w:val="0"/>
          <w:sz w:val="24"/>
          <w:szCs w:val="24"/>
          <w:lang w:val="es-ES" w:eastAsia="zh-CN" w:bidi="ar"/>
        </w:rPr>
        <w:t>;</w:t>
      </w:r>
      <w:r>
        <w:rPr>
          <w:rFonts w:hint="default" w:ascii="Arial" w:hAnsi="Arial" w:eastAsia="Calibri" w:cs="Arial"/>
          <w:kern w:val="0"/>
          <w:sz w:val="24"/>
          <w:szCs w:val="24"/>
          <w:lang w:eastAsia="zh-CN" w:bidi="ar"/>
        </w:rPr>
        <w:t xml:space="preserve"> c) El monto total adeudado a cada Junta de Gobierno al día de la fecha. </w:t>
      </w:r>
    </w:p>
    <w:p w14:paraId="15B3DE7F">
      <w:pPr>
        <w:keepNext w:val="0"/>
        <w:keepLines w:val="0"/>
        <w:widowControl/>
        <w:suppressLineNumbers w:val="0"/>
        <w:spacing w:before="0" w:beforeAutospacing="0" w:after="160" w:afterAutospacing="0" w:line="256" w:lineRule="auto"/>
        <w:ind w:left="0" w:right="0" w:firstLine="708" w:firstLineChars="0"/>
        <w:jc w:val="both"/>
        <w:rPr>
          <w:rFonts w:hint="default" w:ascii="Arial" w:hAnsi="Arial" w:eastAsia="Calibri" w:cs="Arial"/>
          <w:kern w:val="0"/>
          <w:sz w:val="24"/>
          <w:szCs w:val="24"/>
          <w:lang w:val="en-US" w:eastAsia="es-ES" w:bidi="ar"/>
        </w:rPr>
      </w:pPr>
      <w:r>
        <w:rPr>
          <w:rFonts w:hint="default" w:ascii="Arial" w:hAnsi="Arial" w:eastAsia="Calibri" w:cs="Arial"/>
          <w:kern w:val="0"/>
          <w:sz w:val="24"/>
          <w:szCs w:val="24"/>
          <w:lang w:eastAsia="zh-CN" w:bidi="ar"/>
        </w:rPr>
        <w:t>Artículo 3°</w:t>
      </w:r>
      <w:r>
        <w:rPr>
          <w:rFonts w:hint="default" w:ascii="Arial" w:hAnsi="Arial" w:eastAsia="Calibri" w:cs="Arial"/>
          <w:kern w:val="0"/>
          <w:sz w:val="24"/>
          <w:szCs w:val="24"/>
          <w:lang w:val="es-ES" w:eastAsia="zh-CN" w:bidi="ar"/>
        </w:rPr>
        <w:t>-</w:t>
      </w:r>
      <w:r>
        <w:rPr>
          <w:rFonts w:hint="default" w:ascii="Arial" w:hAnsi="Arial" w:eastAsia="Calibri" w:cs="Arial"/>
          <w:kern w:val="0"/>
          <w:sz w:val="24"/>
          <w:szCs w:val="24"/>
          <w:lang w:eastAsia="zh-CN" w:bidi="ar"/>
        </w:rPr>
        <w:t xml:space="preserve"> Comuníquese al Poder Ejecutivo Provincial, regístrese, publíquese y archívese. </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08"/>
    <w:rsid w:val="00085F98"/>
    <w:rsid w:val="00180532"/>
    <w:rsid w:val="002367BA"/>
    <w:rsid w:val="005E15D4"/>
    <w:rsid w:val="00676C47"/>
    <w:rsid w:val="00923608"/>
    <w:rsid w:val="00C9389E"/>
    <w:rsid w:val="05B17F9A"/>
    <w:rsid w:val="244D5A8B"/>
    <w:rsid w:val="72EF605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600</Words>
  <Characters>3300</Characters>
  <Lines>27</Lines>
  <Paragraphs>7</Paragraphs>
  <TotalTime>12</TotalTime>
  <ScaleCrop>false</ScaleCrop>
  <LinksUpToDate>false</LinksUpToDate>
  <CharactersWithSpaces>3893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2026-01-04T17:32:00Z</dcterms:created>
  <dc:creator>PC</dc:creator>
  <cp:lastModifiedBy>RAUL DARIO Gonzalez</cp:lastModifiedBy>
  <cp:lastPrinted>2026-03-18T11:49:12Z</cp:lastPrinted>
  <dcterms:modified xsi:type="dcterms:W3CDTF">2026-03-18T11:53:35Z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EB2B2A9F58644CE8988E1E3C8B7BAC65_13</vt:lpwstr>
  </property>
</Properties>
</file>