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45C92" w14:textId="224B709C" w:rsidR="00727B0E" w:rsidRDefault="00ED6560" w:rsidP="00346E6A">
      <w:pPr>
        <w:spacing w:line="360" w:lineRule="auto"/>
        <w:jc w:val="both"/>
        <w:rPr>
          <w:rFonts w:ascii="Arial" w:hAnsi="Arial" w:cs="Arial"/>
          <w:sz w:val="24"/>
          <w:szCs w:val="24"/>
        </w:rPr>
      </w:pPr>
      <w:r>
        <w:rPr>
          <w:rFonts w:ascii="Arial" w:hAnsi="Arial" w:cs="Arial"/>
          <w:noProof/>
          <w:sz w:val="24"/>
          <w:szCs w:val="24"/>
          <w:lang w:eastAsia="es-AR"/>
        </w:rPr>
        <w:drawing>
          <wp:anchor distT="0" distB="0" distL="114300" distR="114300" simplePos="0" relativeHeight="251659264" behindDoc="0" locked="0" layoutInCell="1" allowOverlap="1" wp14:anchorId="6DAD3784" wp14:editId="519CA039">
            <wp:simplePos x="0" y="0"/>
            <wp:positionH relativeFrom="margin">
              <wp:align>right</wp:align>
            </wp:positionH>
            <wp:positionV relativeFrom="paragraph">
              <wp:posOffset>0</wp:posOffset>
            </wp:positionV>
            <wp:extent cx="6047105" cy="12096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2-25 at 08.30.06.jpeg"/>
                    <pic:cNvPicPr/>
                  </pic:nvPicPr>
                  <pic:blipFill>
                    <a:blip r:embed="rId5">
                      <a:extLst>
                        <a:ext uri="{28A0092B-C50C-407E-A947-70E740481C1C}">
                          <a14:useLocalDpi xmlns:a14="http://schemas.microsoft.com/office/drawing/2010/main" val="0"/>
                        </a:ext>
                      </a:extLst>
                    </a:blip>
                    <a:stretch>
                      <a:fillRect/>
                    </a:stretch>
                  </pic:blipFill>
                  <pic:spPr>
                    <a:xfrm>
                      <a:off x="0" y="0"/>
                      <a:ext cx="6047105" cy="1209675"/>
                    </a:xfrm>
                    <a:prstGeom prst="rect">
                      <a:avLst/>
                    </a:prstGeom>
                  </pic:spPr>
                </pic:pic>
              </a:graphicData>
            </a:graphic>
            <wp14:sizeRelH relativeFrom="margin">
              <wp14:pctWidth>0</wp14:pctWidth>
            </wp14:sizeRelH>
            <wp14:sizeRelV relativeFrom="margin">
              <wp14:pctHeight>0</wp14:pctHeight>
            </wp14:sizeRelV>
          </wp:anchor>
        </w:drawing>
      </w:r>
    </w:p>
    <w:p w14:paraId="159D59D5" w14:textId="77777777" w:rsidR="00ED4EB5" w:rsidRDefault="00ED4EB5" w:rsidP="00346E6A">
      <w:pPr>
        <w:spacing w:line="360" w:lineRule="auto"/>
        <w:jc w:val="both"/>
        <w:rPr>
          <w:rFonts w:ascii="Arial" w:hAnsi="Arial" w:cs="Arial"/>
          <w:sz w:val="24"/>
          <w:szCs w:val="24"/>
        </w:rPr>
      </w:pPr>
    </w:p>
    <w:p w14:paraId="687CCFA6" w14:textId="435E0C1C" w:rsidR="00727B0E" w:rsidRPr="00727B0E" w:rsidRDefault="00727B0E" w:rsidP="00727B0E">
      <w:pPr>
        <w:pBdr>
          <w:bottom w:val="single" w:sz="4" w:space="1" w:color="auto"/>
        </w:pBdr>
        <w:spacing w:line="360" w:lineRule="auto"/>
        <w:jc w:val="center"/>
        <w:rPr>
          <w:rFonts w:ascii="Arial" w:hAnsi="Arial" w:cs="Arial"/>
          <w:b/>
          <w:bCs/>
          <w:sz w:val="24"/>
          <w:szCs w:val="24"/>
        </w:rPr>
      </w:pPr>
      <w:r w:rsidRPr="00727B0E">
        <w:rPr>
          <w:rFonts w:ascii="Arial" w:hAnsi="Arial" w:cs="Arial"/>
          <w:b/>
          <w:bCs/>
          <w:sz w:val="24"/>
          <w:szCs w:val="24"/>
        </w:rPr>
        <w:t>PROYECTO DE LEY</w:t>
      </w:r>
    </w:p>
    <w:p w14:paraId="14E0272A" w14:textId="459A1680" w:rsidR="00727B0E" w:rsidRPr="00727B0E" w:rsidRDefault="00727B0E" w:rsidP="00727B0E">
      <w:pPr>
        <w:pBdr>
          <w:bottom w:val="single" w:sz="4" w:space="1" w:color="auto"/>
        </w:pBdr>
        <w:spacing w:line="360" w:lineRule="auto"/>
        <w:jc w:val="center"/>
        <w:rPr>
          <w:rFonts w:ascii="Arial" w:hAnsi="Arial" w:cs="Arial"/>
          <w:b/>
          <w:bCs/>
          <w:sz w:val="24"/>
          <w:szCs w:val="24"/>
        </w:rPr>
      </w:pPr>
      <w:r w:rsidRPr="00727B0E">
        <w:rPr>
          <w:rFonts w:ascii="Arial" w:hAnsi="Arial" w:cs="Arial"/>
          <w:b/>
          <w:bCs/>
          <w:sz w:val="24"/>
          <w:szCs w:val="24"/>
        </w:rPr>
        <w:t>Modificatoria Articulo 41 – Ley N° 10.855</w:t>
      </w:r>
    </w:p>
    <w:p w14:paraId="1CA8A862" w14:textId="13B02B60" w:rsidR="00C2403A" w:rsidRPr="00727B0E" w:rsidRDefault="00346E6A" w:rsidP="00346E6A">
      <w:pPr>
        <w:spacing w:line="360" w:lineRule="auto"/>
        <w:jc w:val="both"/>
        <w:rPr>
          <w:rFonts w:ascii="Arial" w:hAnsi="Arial" w:cs="Arial"/>
          <w:sz w:val="24"/>
          <w:szCs w:val="24"/>
        </w:rPr>
      </w:pPr>
      <w:r w:rsidRPr="00727B0E">
        <w:rPr>
          <w:rFonts w:ascii="Arial" w:hAnsi="Arial" w:cs="Arial"/>
          <w:sz w:val="24"/>
          <w:szCs w:val="24"/>
        </w:rPr>
        <w:t xml:space="preserve">El proyecto de </w:t>
      </w:r>
      <w:r w:rsidR="00C2403A" w:rsidRPr="00727B0E">
        <w:rPr>
          <w:rFonts w:ascii="Arial" w:hAnsi="Arial" w:cs="Arial"/>
          <w:sz w:val="24"/>
          <w:szCs w:val="24"/>
        </w:rPr>
        <w:t>Ley</w:t>
      </w:r>
      <w:r w:rsidRPr="00727B0E">
        <w:rPr>
          <w:rFonts w:ascii="Arial" w:hAnsi="Arial" w:cs="Arial"/>
          <w:sz w:val="24"/>
          <w:szCs w:val="24"/>
        </w:rPr>
        <w:t xml:space="preserve"> que nos ocupa propone m</w:t>
      </w:r>
      <w:r w:rsidR="00C2403A" w:rsidRPr="00727B0E">
        <w:rPr>
          <w:rFonts w:ascii="Arial" w:hAnsi="Arial" w:cs="Arial"/>
          <w:sz w:val="24"/>
          <w:szCs w:val="24"/>
        </w:rPr>
        <w:t>odifica</w:t>
      </w:r>
      <w:r w:rsidRPr="00727B0E">
        <w:rPr>
          <w:rFonts w:ascii="Arial" w:hAnsi="Arial" w:cs="Arial"/>
          <w:sz w:val="24"/>
          <w:szCs w:val="24"/>
        </w:rPr>
        <w:t>r</w:t>
      </w:r>
      <w:r w:rsidR="00C2403A" w:rsidRPr="00727B0E">
        <w:rPr>
          <w:rFonts w:ascii="Arial" w:hAnsi="Arial" w:cs="Arial"/>
          <w:sz w:val="24"/>
          <w:szCs w:val="24"/>
        </w:rPr>
        <w:t xml:space="preserve"> el artículo 41 de la Ley N.º 10.855, </w:t>
      </w:r>
      <w:r w:rsidRPr="00727B0E">
        <w:rPr>
          <w:rFonts w:ascii="Arial" w:hAnsi="Arial" w:cs="Arial"/>
          <w:sz w:val="24"/>
          <w:szCs w:val="24"/>
        </w:rPr>
        <w:t>que refiere</w:t>
      </w:r>
      <w:r w:rsidR="00C2403A" w:rsidRPr="00727B0E">
        <w:rPr>
          <w:rFonts w:ascii="Arial" w:hAnsi="Arial" w:cs="Arial"/>
          <w:sz w:val="24"/>
          <w:szCs w:val="24"/>
        </w:rPr>
        <w:t xml:space="preserve"> al régimen de incompatibilidades para el ejercicio de la abogacía y la procuración, conforme a los siguientes fundamentos.</w:t>
      </w:r>
    </w:p>
    <w:p w14:paraId="5A76A6BF" w14:textId="2768F55B" w:rsidR="00346E6A" w:rsidRPr="00727B0E" w:rsidRDefault="00346E6A" w:rsidP="00346E6A">
      <w:pPr>
        <w:spacing w:line="360" w:lineRule="auto"/>
        <w:rPr>
          <w:rFonts w:ascii="Arial" w:hAnsi="Arial" w:cs="Arial"/>
          <w:sz w:val="24"/>
          <w:szCs w:val="24"/>
        </w:rPr>
      </w:pPr>
      <w:r w:rsidRPr="00727B0E">
        <w:rPr>
          <w:rFonts w:ascii="Arial" w:hAnsi="Arial" w:cs="Arial"/>
          <w:sz w:val="24"/>
          <w:szCs w:val="24"/>
        </w:rPr>
        <w:t>Adecuar técnicamente el régimen de incompatibilidades previsto en el artículo 41 de la Ley 10.855, manteniendo las incompatibilidades absolutas que responden a criterios históricos de exclusividad profesional, y reconduciendo a un esquema relativo y funcional aquellas situaciones vinculadas al ejercicio de funciones como auxiliares de la justicia, es el objetivo de este proyecto.</w:t>
      </w:r>
    </w:p>
    <w:p w14:paraId="1DE2F2FE" w14:textId="69799EA0" w:rsidR="00C2403A" w:rsidRPr="00727B0E" w:rsidRDefault="00346E6A" w:rsidP="00D1156F">
      <w:pPr>
        <w:spacing w:line="360" w:lineRule="auto"/>
        <w:rPr>
          <w:rFonts w:ascii="Arial" w:hAnsi="Arial" w:cs="Arial"/>
          <w:sz w:val="24"/>
          <w:szCs w:val="24"/>
        </w:rPr>
      </w:pPr>
      <w:r w:rsidRPr="00727B0E">
        <w:rPr>
          <w:rFonts w:ascii="Arial" w:hAnsi="Arial" w:cs="Arial"/>
          <w:sz w:val="24"/>
          <w:szCs w:val="24"/>
        </w:rPr>
        <w:t xml:space="preserve">Fue </w:t>
      </w:r>
      <w:r w:rsidR="00D1156F" w:rsidRPr="00727B0E">
        <w:rPr>
          <w:rFonts w:ascii="Arial" w:hAnsi="Arial" w:cs="Arial"/>
          <w:sz w:val="24"/>
          <w:szCs w:val="24"/>
        </w:rPr>
        <w:t>sugerido, a partir del desenvolvimiento de la practica diaria, por profesionales que ven entorpecido en algunos casos el desenvolvimiento de su profesión. L</w:t>
      </w:r>
      <w:r w:rsidR="00C2403A" w:rsidRPr="00727B0E">
        <w:rPr>
          <w:rFonts w:ascii="Arial" w:hAnsi="Arial" w:cs="Arial"/>
          <w:sz w:val="24"/>
          <w:szCs w:val="24"/>
        </w:rPr>
        <w:t>a iniciativa no elimina controles ni desregula el ejercicio profesional, sino que procura mejorar la calidad normativa, fortalecer la seguridad jurídica y preservar la correcta administración de justicia, en armonía con los principios de razonabilidad y proporcionalidad que deben regir toda reglamentación de derechos.</w:t>
      </w:r>
    </w:p>
    <w:p w14:paraId="6111BD32" w14:textId="6A69E18E" w:rsidR="00C2403A" w:rsidRPr="00727B0E" w:rsidRDefault="00D1156F" w:rsidP="00D1156F">
      <w:pPr>
        <w:spacing w:line="360" w:lineRule="auto"/>
        <w:rPr>
          <w:rFonts w:ascii="Arial" w:hAnsi="Arial" w:cs="Arial"/>
          <w:sz w:val="24"/>
          <w:szCs w:val="24"/>
        </w:rPr>
      </w:pPr>
      <w:r w:rsidRPr="00727B0E">
        <w:rPr>
          <w:rFonts w:ascii="Arial" w:hAnsi="Arial" w:cs="Arial"/>
          <w:sz w:val="24"/>
          <w:szCs w:val="24"/>
        </w:rPr>
        <w:t>L</w:t>
      </w:r>
      <w:r w:rsidR="00C2403A" w:rsidRPr="00727B0E">
        <w:rPr>
          <w:rFonts w:ascii="Arial" w:hAnsi="Arial" w:cs="Arial"/>
          <w:sz w:val="24"/>
          <w:szCs w:val="24"/>
        </w:rPr>
        <w:t>as incompatibilidades profesionales constituyen un instrumento legítimo de orden público, destinado a resguardar:</w:t>
      </w:r>
    </w:p>
    <w:p w14:paraId="0094220D" w14:textId="77777777" w:rsidR="00C2403A" w:rsidRPr="00727B0E" w:rsidRDefault="00C2403A" w:rsidP="00D1156F">
      <w:pPr>
        <w:numPr>
          <w:ilvl w:val="0"/>
          <w:numId w:val="1"/>
        </w:numPr>
        <w:spacing w:after="0" w:line="360" w:lineRule="auto"/>
        <w:ind w:left="0" w:firstLine="1276"/>
        <w:rPr>
          <w:rFonts w:ascii="Arial" w:hAnsi="Arial" w:cs="Arial"/>
          <w:sz w:val="24"/>
          <w:szCs w:val="24"/>
        </w:rPr>
      </w:pPr>
      <w:r w:rsidRPr="00727B0E">
        <w:rPr>
          <w:rFonts w:ascii="Arial" w:hAnsi="Arial" w:cs="Arial"/>
          <w:sz w:val="24"/>
          <w:szCs w:val="24"/>
        </w:rPr>
        <w:t>la independencia profesional,</w:t>
      </w:r>
    </w:p>
    <w:p w14:paraId="4DEAFC00" w14:textId="77777777" w:rsidR="00C2403A" w:rsidRPr="00727B0E" w:rsidRDefault="00C2403A" w:rsidP="00D1156F">
      <w:pPr>
        <w:numPr>
          <w:ilvl w:val="0"/>
          <w:numId w:val="1"/>
        </w:numPr>
        <w:spacing w:after="0" w:line="360" w:lineRule="auto"/>
        <w:ind w:left="0" w:firstLine="1276"/>
        <w:rPr>
          <w:rFonts w:ascii="Arial" w:hAnsi="Arial" w:cs="Arial"/>
          <w:sz w:val="24"/>
          <w:szCs w:val="24"/>
        </w:rPr>
      </w:pPr>
      <w:r w:rsidRPr="00727B0E">
        <w:rPr>
          <w:rFonts w:ascii="Arial" w:hAnsi="Arial" w:cs="Arial"/>
          <w:sz w:val="24"/>
          <w:szCs w:val="24"/>
        </w:rPr>
        <w:t>la transparencia en el ejercicio de la función,</w:t>
      </w:r>
    </w:p>
    <w:p w14:paraId="4AD27D71" w14:textId="77777777" w:rsidR="00C2403A" w:rsidRPr="00727B0E" w:rsidRDefault="00C2403A" w:rsidP="00D1156F">
      <w:pPr>
        <w:numPr>
          <w:ilvl w:val="0"/>
          <w:numId w:val="1"/>
        </w:numPr>
        <w:spacing w:after="0" w:line="360" w:lineRule="auto"/>
        <w:ind w:left="0" w:firstLine="1276"/>
        <w:rPr>
          <w:rFonts w:ascii="Arial" w:hAnsi="Arial" w:cs="Arial"/>
          <w:sz w:val="24"/>
          <w:szCs w:val="24"/>
        </w:rPr>
      </w:pPr>
      <w:r w:rsidRPr="00727B0E">
        <w:rPr>
          <w:rFonts w:ascii="Arial" w:hAnsi="Arial" w:cs="Arial"/>
          <w:sz w:val="24"/>
          <w:szCs w:val="24"/>
        </w:rPr>
        <w:t>la confianza pública en la administración de justicia,</w:t>
      </w:r>
    </w:p>
    <w:p w14:paraId="7D22FD1D" w14:textId="77777777" w:rsidR="00D1156F" w:rsidRPr="00727B0E" w:rsidRDefault="00C2403A" w:rsidP="00D1156F">
      <w:pPr>
        <w:numPr>
          <w:ilvl w:val="0"/>
          <w:numId w:val="1"/>
        </w:numPr>
        <w:spacing w:after="0" w:line="360" w:lineRule="auto"/>
        <w:ind w:left="0" w:firstLine="1276"/>
        <w:rPr>
          <w:rFonts w:ascii="Arial" w:hAnsi="Arial" w:cs="Arial"/>
          <w:sz w:val="24"/>
          <w:szCs w:val="24"/>
        </w:rPr>
      </w:pPr>
      <w:r w:rsidRPr="00727B0E">
        <w:rPr>
          <w:rFonts w:ascii="Arial" w:hAnsi="Arial" w:cs="Arial"/>
          <w:sz w:val="24"/>
          <w:szCs w:val="24"/>
        </w:rPr>
        <w:t>y la prevención de conflictos de intereses.</w:t>
      </w:r>
    </w:p>
    <w:p w14:paraId="59E7D081" w14:textId="77777777" w:rsidR="00D1156F" w:rsidRPr="00727B0E" w:rsidRDefault="00D1156F" w:rsidP="00D1156F">
      <w:pPr>
        <w:spacing w:after="0" w:line="360" w:lineRule="auto"/>
        <w:rPr>
          <w:rFonts w:ascii="Arial" w:hAnsi="Arial" w:cs="Arial"/>
          <w:sz w:val="24"/>
          <w:szCs w:val="24"/>
        </w:rPr>
      </w:pPr>
    </w:p>
    <w:p w14:paraId="32BBE0E8" w14:textId="77777777" w:rsidR="00DD2207" w:rsidRDefault="00DD2207" w:rsidP="00D1156F">
      <w:pPr>
        <w:spacing w:after="0" w:line="360" w:lineRule="auto"/>
        <w:rPr>
          <w:rFonts w:ascii="Arial" w:hAnsi="Arial" w:cs="Arial"/>
          <w:sz w:val="24"/>
          <w:szCs w:val="24"/>
        </w:rPr>
      </w:pPr>
    </w:p>
    <w:p w14:paraId="6CAFF9B2" w14:textId="77777777" w:rsidR="00DD2207" w:rsidRDefault="00DD2207" w:rsidP="00D1156F">
      <w:pPr>
        <w:spacing w:after="0" w:line="360" w:lineRule="auto"/>
        <w:rPr>
          <w:rFonts w:ascii="Arial" w:hAnsi="Arial" w:cs="Arial"/>
          <w:sz w:val="24"/>
          <w:szCs w:val="24"/>
        </w:rPr>
      </w:pPr>
    </w:p>
    <w:p w14:paraId="360B2491" w14:textId="77777777" w:rsidR="00DD2207" w:rsidRDefault="00DD2207" w:rsidP="00D1156F">
      <w:pPr>
        <w:spacing w:after="0" w:line="360" w:lineRule="auto"/>
        <w:rPr>
          <w:rFonts w:ascii="Arial" w:hAnsi="Arial" w:cs="Arial"/>
          <w:sz w:val="24"/>
          <w:szCs w:val="24"/>
        </w:rPr>
      </w:pPr>
    </w:p>
    <w:p w14:paraId="64868EBD" w14:textId="77777777" w:rsidR="00DD2207" w:rsidRDefault="00DD2207" w:rsidP="00D1156F">
      <w:pPr>
        <w:spacing w:after="0" w:line="360" w:lineRule="auto"/>
        <w:rPr>
          <w:rFonts w:ascii="Arial" w:hAnsi="Arial" w:cs="Arial"/>
          <w:sz w:val="24"/>
          <w:szCs w:val="24"/>
        </w:rPr>
      </w:pPr>
    </w:p>
    <w:p w14:paraId="270A29F2" w14:textId="027261F2" w:rsidR="00C2403A" w:rsidRPr="00727B0E" w:rsidRDefault="00D1156F" w:rsidP="00D1156F">
      <w:pPr>
        <w:spacing w:after="0" w:line="360" w:lineRule="auto"/>
        <w:rPr>
          <w:rFonts w:ascii="Arial" w:hAnsi="Arial" w:cs="Arial"/>
          <w:sz w:val="24"/>
          <w:szCs w:val="24"/>
        </w:rPr>
      </w:pPr>
      <w:r w:rsidRPr="00727B0E">
        <w:rPr>
          <w:rFonts w:ascii="Arial" w:hAnsi="Arial" w:cs="Arial"/>
          <w:sz w:val="24"/>
          <w:szCs w:val="24"/>
        </w:rPr>
        <w:t>E</w:t>
      </w:r>
      <w:r w:rsidR="00C2403A" w:rsidRPr="00727B0E">
        <w:rPr>
          <w:rFonts w:ascii="Arial" w:hAnsi="Arial" w:cs="Arial"/>
          <w:sz w:val="24"/>
          <w:szCs w:val="24"/>
        </w:rPr>
        <w:t>ste sistema se articula necesariamente con la función institucional que cumplen los Colegios, Consejos y Asociaciones Profesionales, encargados de la matrícula, la habilitación, el control ético-disciplinario y la tutela del interés público comprometido en el ejercicio profesional</w:t>
      </w:r>
      <w:r w:rsidRPr="00727B0E">
        <w:rPr>
          <w:rFonts w:ascii="Arial" w:hAnsi="Arial" w:cs="Arial"/>
          <w:sz w:val="24"/>
          <w:szCs w:val="24"/>
        </w:rPr>
        <w:t xml:space="preserve">, entendiendo que </w:t>
      </w:r>
      <w:r w:rsidR="00C2403A" w:rsidRPr="00727B0E">
        <w:rPr>
          <w:rFonts w:ascii="Arial" w:hAnsi="Arial" w:cs="Arial"/>
          <w:sz w:val="24"/>
          <w:szCs w:val="24"/>
        </w:rPr>
        <w:t>el proyecto revaloriza expresamente ese rol institucional, reforzando el control ético y disciplinario antes que sustituirlo por prohibiciones generales abstractas, y promoviendo un modelo en el que la incompatibilidad se verifique y controle allí donde existe un riesgo real y concreto para la imparcialidad y la transparencia.</w:t>
      </w:r>
    </w:p>
    <w:p w14:paraId="5C554FFB" w14:textId="77777777" w:rsidR="00D1156F" w:rsidRPr="00727B0E" w:rsidRDefault="00D1156F" w:rsidP="00D1156F">
      <w:pPr>
        <w:spacing w:line="360" w:lineRule="auto"/>
        <w:jc w:val="both"/>
        <w:rPr>
          <w:rFonts w:ascii="Arial" w:hAnsi="Arial" w:cs="Arial"/>
          <w:sz w:val="24"/>
          <w:szCs w:val="24"/>
        </w:rPr>
      </w:pPr>
    </w:p>
    <w:p w14:paraId="1C07A153" w14:textId="77777777" w:rsidR="00727B0E" w:rsidRPr="00727B0E" w:rsidRDefault="00D1156F" w:rsidP="00727B0E">
      <w:pPr>
        <w:spacing w:line="360" w:lineRule="auto"/>
        <w:jc w:val="both"/>
        <w:rPr>
          <w:rFonts w:ascii="Arial" w:hAnsi="Arial" w:cs="Arial"/>
          <w:sz w:val="24"/>
          <w:szCs w:val="24"/>
        </w:rPr>
      </w:pPr>
      <w:r w:rsidRPr="00727B0E">
        <w:rPr>
          <w:rFonts w:ascii="Arial" w:hAnsi="Arial" w:cs="Arial"/>
          <w:sz w:val="24"/>
          <w:szCs w:val="24"/>
        </w:rPr>
        <w:t>E</w:t>
      </w:r>
      <w:r w:rsidR="00C2403A" w:rsidRPr="00727B0E">
        <w:rPr>
          <w:rFonts w:ascii="Arial" w:hAnsi="Arial" w:cs="Arial"/>
          <w:sz w:val="24"/>
          <w:szCs w:val="24"/>
        </w:rPr>
        <w:t xml:space="preserve">l artículo 41, apartado 1, inciso f), en su redacción actual, establece una incompatibilidad absoluta basada en la inscripción vigente </w:t>
      </w:r>
      <w:r w:rsidR="009835E6" w:rsidRPr="00727B0E">
        <w:rPr>
          <w:rFonts w:ascii="Arial" w:hAnsi="Arial" w:cs="Arial"/>
          <w:sz w:val="24"/>
          <w:szCs w:val="24"/>
        </w:rPr>
        <w:t xml:space="preserve">y por ende el ejercicio profesional simultáneo </w:t>
      </w:r>
      <w:r w:rsidR="00C2403A" w:rsidRPr="00727B0E">
        <w:rPr>
          <w:rFonts w:ascii="Arial" w:hAnsi="Arial" w:cs="Arial"/>
          <w:sz w:val="24"/>
          <w:szCs w:val="24"/>
        </w:rPr>
        <w:t xml:space="preserve">en determinadas matrículas profesionales, incorporando además la expresión:  </w:t>
      </w:r>
      <w:r w:rsidR="00C2403A" w:rsidRPr="00727B0E">
        <w:rPr>
          <w:rFonts w:ascii="Arial" w:hAnsi="Arial" w:cs="Arial"/>
          <w:b/>
          <w:bCs/>
          <w:i/>
          <w:iCs/>
          <w:sz w:val="24"/>
          <w:szCs w:val="24"/>
        </w:rPr>
        <w:t>“cualquier otra profesión o título que se considere auxiliar de la justicia”.</w:t>
      </w:r>
      <w:r w:rsidR="00727B0E" w:rsidRPr="00727B0E">
        <w:rPr>
          <w:rFonts w:ascii="Arial" w:hAnsi="Arial" w:cs="Arial"/>
          <w:b/>
          <w:bCs/>
          <w:i/>
          <w:iCs/>
          <w:sz w:val="24"/>
          <w:szCs w:val="24"/>
        </w:rPr>
        <w:t xml:space="preserve">   </w:t>
      </w:r>
      <w:r w:rsidR="00727B0E" w:rsidRPr="00727B0E">
        <w:rPr>
          <w:rFonts w:ascii="Arial" w:hAnsi="Arial" w:cs="Arial"/>
          <w:sz w:val="24"/>
          <w:szCs w:val="24"/>
        </w:rPr>
        <w:t>Es</w:t>
      </w:r>
      <w:r w:rsidR="00C2403A" w:rsidRPr="00727B0E">
        <w:rPr>
          <w:rFonts w:ascii="Arial" w:hAnsi="Arial" w:cs="Arial"/>
          <w:sz w:val="24"/>
          <w:szCs w:val="24"/>
        </w:rPr>
        <w:t>ta formulación genera una restricción automática y preventiva, fundada en el estatus registral, sin atender a la existencia de un conflicto real y concreto.</w:t>
      </w:r>
    </w:p>
    <w:p w14:paraId="47B06477" w14:textId="6B55F422" w:rsidR="00C2403A" w:rsidRPr="00727B0E" w:rsidRDefault="00727B0E" w:rsidP="00727B0E">
      <w:pPr>
        <w:spacing w:line="360" w:lineRule="auto"/>
        <w:jc w:val="both"/>
        <w:rPr>
          <w:rFonts w:ascii="Arial" w:hAnsi="Arial" w:cs="Arial"/>
          <w:sz w:val="24"/>
          <w:szCs w:val="24"/>
        </w:rPr>
      </w:pPr>
      <w:r w:rsidRPr="00727B0E">
        <w:rPr>
          <w:rFonts w:ascii="Arial" w:hAnsi="Arial" w:cs="Arial"/>
          <w:sz w:val="24"/>
          <w:szCs w:val="24"/>
        </w:rPr>
        <w:t>D</w:t>
      </w:r>
      <w:r w:rsidR="00C2403A" w:rsidRPr="00727B0E">
        <w:rPr>
          <w:rFonts w:ascii="Arial" w:hAnsi="Arial" w:cs="Arial"/>
          <w:sz w:val="24"/>
          <w:szCs w:val="24"/>
        </w:rPr>
        <w:t xml:space="preserve">ebe destacarse que la condición de </w:t>
      </w:r>
      <w:r w:rsidR="00C2403A" w:rsidRPr="00727B0E">
        <w:rPr>
          <w:rFonts w:ascii="Arial" w:hAnsi="Arial" w:cs="Arial"/>
          <w:b/>
          <w:bCs/>
          <w:sz w:val="24"/>
          <w:szCs w:val="24"/>
        </w:rPr>
        <w:t>“auxiliar de la justicia”</w:t>
      </w:r>
      <w:r w:rsidR="00C2403A" w:rsidRPr="00727B0E">
        <w:rPr>
          <w:rFonts w:ascii="Arial" w:hAnsi="Arial" w:cs="Arial"/>
          <w:sz w:val="24"/>
          <w:szCs w:val="24"/>
        </w:rPr>
        <w:t xml:space="preserve"> no constituye una profesión, sino una función procesal circunstancial, limitada a un proceso determinado, ante un órgano específico y durante el tiempo que dure la designación.</w:t>
      </w:r>
      <w:r w:rsidRPr="00727B0E">
        <w:rPr>
          <w:rFonts w:ascii="Arial" w:hAnsi="Arial" w:cs="Arial"/>
          <w:sz w:val="24"/>
          <w:szCs w:val="24"/>
        </w:rPr>
        <w:t xml:space="preserve"> De igual manera </w:t>
      </w:r>
      <w:r w:rsidR="00C2403A" w:rsidRPr="00727B0E">
        <w:rPr>
          <w:rFonts w:ascii="Arial" w:hAnsi="Arial" w:cs="Arial"/>
          <w:sz w:val="24"/>
          <w:szCs w:val="24"/>
        </w:rPr>
        <w:t>cabe tener presente que el auxilio jurisdiccional es transversal a múltiples disciplinas -no solo a las ciencias económicas- y puede involucrar a médicos, psicólogos, psiquiatras, ingenieros, arquitectos, informáticos, entre otros profesionales universitarios, lo que evidencia la necesidad de un diseño normativo más preciso y funcional, evitando alcances expansivos no intencionados.</w:t>
      </w:r>
    </w:p>
    <w:p w14:paraId="191ECE1E" w14:textId="77777777" w:rsidR="00DD2207" w:rsidRDefault="00727B0E" w:rsidP="00727B0E">
      <w:pPr>
        <w:spacing w:line="360" w:lineRule="auto"/>
        <w:jc w:val="both"/>
        <w:rPr>
          <w:rFonts w:ascii="Arial" w:hAnsi="Arial" w:cs="Arial"/>
          <w:sz w:val="24"/>
          <w:szCs w:val="24"/>
        </w:rPr>
      </w:pPr>
      <w:r w:rsidRPr="00727B0E">
        <w:rPr>
          <w:rFonts w:ascii="Arial" w:hAnsi="Arial" w:cs="Arial"/>
          <w:sz w:val="24"/>
          <w:szCs w:val="24"/>
        </w:rPr>
        <w:t>E</w:t>
      </w:r>
      <w:r w:rsidR="00C63C0F" w:rsidRPr="00727B0E">
        <w:rPr>
          <w:rFonts w:ascii="Arial" w:hAnsi="Arial" w:cs="Arial"/>
          <w:sz w:val="24"/>
          <w:szCs w:val="24"/>
        </w:rPr>
        <w:t xml:space="preserve">n ese marco, no puede soslayarse que la sociedad contemporánea demanda cada vez con mayor intensidad abordajes técnicos especializados e interprofesionales para la adecuada resolución de los conflictos, lo que torna necesario valorar la capacitación, el estudio y la formación universitaria de los </w:t>
      </w:r>
    </w:p>
    <w:p w14:paraId="26B5E06E" w14:textId="77777777" w:rsidR="00DD2207" w:rsidRDefault="00DD2207" w:rsidP="00727B0E">
      <w:pPr>
        <w:spacing w:line="360" w:lineRule="auto"/>
        <w:jc w:val="both"/>
        <w:rPr>
          <w:rFonts w:ascii="Arial" w:hAnsi="Arial" w:cs="Arial"/>
          <w:sz w:val="24"/>
          <w:szCs w:val="24"/>
        </w:rPr>
      </w:pPr>
    </w:p>
    <w:p w14:paraId="2A6F9788" w14:textId="77777777" w:rsidR="00DD2207" w:rsidRDefault="00DD2207" w:rsidP="00727B0E">
      <w:pPr>
        <w:spacing w:line="360" w:lineRule="auto"/>
        <w:jc w:val="both"/>
        <w:rPr>
          <w:rFonts w:ascii="Arial" w:hAnsi="Arial" w:cs="Arial"/>
          <w:sz w:val="24"/>
          <w:szCs w:val="24"/>
        </w:rPr>
      </w:pPr>
    </w:p>
    <w:p w14:paraId="0620CDEB" w14:textId="4DD60620" w:rsidR="00C63C0F" w:rsidRPr="00727B0E" w:rsidRDefault="00C63C0F" w:rsidP="00727B0E">
      <w:pPr>
        <w:spacing w:line="360" w:lineRule="auto"/>
        <w:jc w:val="both"/>
        <w:rPr>
          <w:rFonts w:ascii="Arial" w:hAnsi="Arial" w:cs="Arial"/>
          <w:sz w:val="24"/>
          <w:szCs w:val="24"/>
        </w:rPr>
      </w:pPr>
      <w:proofErr w:type="gramStart"/>
      <w:r w:rsidRPr="00DD2207">
        <w:rPr>
          <w:rFonts w:ascii="Arial" w:hAnsi="Arial" w:cs="Arial"/>
          <w:sz w:val="24"/>
          <w:szCs w:val="24"/>
        </w:rPr>
        <w:t>profesionales</w:t>
      </w:r>
      <w:proofErr w:type="gramEnd"/>
      <w:r w:rsidRPr="00DD2207">
        <w:rPr>
          <w:rFonts w:ascii="Arial" w:hAnsi="Arial" w:cs="Arial"/>
          <w:sz w:val="24"/>
          <w:szCs w:val="24"/>
        </w:rPr>
        <w:t>, en tanto aportes legítimos al mejoramiento de la calidad</w:t>
      </w:r>
      <w:r w:rsidRPr="00727B0E">
        <w:rPr>
          <w:rFonts w:ascii="Arial" w:hAnsi="Arial" w:cs="Arial"/>
          <w:sz w:val="24"/>
          <w:szCs w:val="24"/>
        </w:rPr>
        <w:t xml:space="preserve"> institucional y de la calidad de vida de la población.</w:t>
      </w:r>
    </w:p>
    <w:p w14:paraId="63FEDBA0" w14:textId="1B4269E0" w:rsidR="00C2403A" w:rsidRPr="00727B0E" w:rsidRDefault="00727B0E" w:rsidP="00727B0E">
      <w:pPr>
        <w:spacing w:line="360" w:lineRule="auto"/>
        <w:rPr>
          <w:rFonts w:ascii="Arial" w:hAnsi="Arial" w:cs="Arial"/>
          <w:sz w:val="24"/>
          <w:szCs w:val="24"/>
        </w:rPr>
      </w:pPr>
      <w:r w:rsidRPr="00727B0E">
        <w:rPr>
          <w:rFonts w:ascii="Arial" w:hAnsi="Arial" w:cs="Arial"/>
          <w:sz w:val="24"/>
          <w:szCs w:val="24"/>
        </w:rPr>
        <w:t>L</w:t>
      </w:r>
      <w:r w:rsidR="00C2403A" w:rsidRPr="00727B0E">
        <w:rPr>
          <w:rFonts w:ascii="Arial" w:hAnsi="Arial" w:cs="Arial"/>
          <w:sz w:val="24"/>
          <w:szCs w:val="24"/>
        </w:rPr>
        <w:t>os Códigos de Ética Profesional vigentes imponen deberes estrictos de:</w:t>
      </w:r>
      <w:r w:rsidRPr="00727B0E">
        <w:rPr>
          <w:rFonts w:ascii="Arial" w:hAnsi="Arial" w:cs="Arial"/>
          <w:sz w:val="24"/>
          <w:szCs w:val="24"/>
        </w:rPr>
        <w:t xml:space="preserve"> </w:t>
      </w:r>
      <w:r w:rsidR="00C2403A" w:rsidRPr="00727B0E">
        <w:rPr>
          <w:rFonts w:ascii="Arial" w:hAnsi="Arial" w:cs="Arial"/>
          <w:sz w:val="24"/>
          <w:szCs w:val="24"/>
        </w:rPr>
        <w:t>independencia,</w:t>
      </w:r>
      <w:r w:rsidRPr="00727B0E">
        <w:rPr>
          <w:rFonts w:ascii="Arial" w:hAnsi="Arial" w:cs="Arial"/>
          <w:sz w:val="24"/>
          <w:szCs w:val="24"/>
        </w:rPr>
        <w:t xml:space="preserve"> </w:t>
      </w:r>
      <w:r w:rsidR="00C2403A" w:rsidRPr="00727B0E">
        <w:rPr>
          <w:rFonts w:ascii="Arial" w:hAnsi="Arial" w:cs="Arial"/>
          <w:sz w:val="24"/>
          <w:szCs w:val="24"/>
        </w:rPr>
        <w:t>lealtad,</w:t>
      </w:r>
      <w:r w:rsidRPr="00727B0E">
        <w:rPr>
          <w:rFonts w:ascii="Arial" w:hAnsi="Arial" w:cs="Arial"/>
          <w:sz w:val="24"/>
          <w:szCs w:val="24"/>
        </w:rPr>
        <w:t xml:space="preserve"> </w:t>
      </w:r>
      <w:r w:rsidR="00C2403A" w:rsidRPr="00727B0E">
        <w:rPr>
          <w:rFonts w:ascii="Arial" w:hAnsi="Arial" w:cs="Arial"/>
          <w:sz w:val="24"/>
          <w:szCs w:val="24"/>
        </w:rPr>
        <w:t>abstención ante intereses contrapuestos,</w:t>
      </w:r>
      <w:r w:rsidRPr="00727B0E">
        <w:rPr>
          <w:rFonts w:ascii="Arial" w:hAnsi="Arial" w:cs="Arial"/>
          <w:sz w:val="24"/>
          <w:szCs w:val="24"/>
        </w:rPr>
        <w:t xml:space="preserve"> </w:t>
      </w:r>
      <w:r w:rsidR="00C2403A" w:rsidRPr="00727B0E">
        <w:rPr>
          <w:rFonts w:ascii="Arial" w:hAnsi="Arial" w:cs="Arial"/>
          <w:sz w:val="24"/>
          <w:szCs w:val="24"/>
        </w:rPr>
        <w:t>excusación en caso de conflicto</w:t>
      </w:r>
      <w:r w:rsidRPr="00727B0E">
        <w:rPr>
          <w:rFonts w:ascii="Arial" w:hAnsi="Arial" w:cs="Arial"/>
          <w:sz w:val="24"/>
          <w:szCs w:val="24"/>
        </w:rPr>
        <w:t xml:space="preserve"> </w:t>
      </w:r>
      <w:r w:rsidR="00C2403A" w:rsidRPr="00727B0E">
        <w:rPr>
          <w:rFonts w:ascii="Arial" w:hAnsi="Arial" w:cs="Arial"/>
          <w:sz w:val="24"/>
          <w:szCs w:val="24"/>
        </w:rPr>
        <w:t>y responsabilidad disciplinaria.</w:t>
      </w:r>
    </w:p>
    <w:p w14:paraId="433C6403" w14:textId="353CE87B" w:rsidR="00C2403A" w:rsidRPr="00727B0E" w:rsidRDefault="00727B0E" w:rsidP="00727B0E">
      <w:pPr>
        <w:spacing w:line="360" w:lineRule="auto"/>
        <w:jc w:val="both"/>
        <w:rPr>
          <w:rFonts w:ascii="Arial" w:hAnsi="Arial" w:cs="Arial"/>
          <w:sz w:val="24"/>
          <w:szCs w:val="24"/>
        </w:rPr>
      </w:pPr>
      <w:r w:rsidRPr="00727B0E">
        <w:rPr>
          <w:rFonts w:ascii="Arial" w:hAnsi="Arial" w:cs="Arial"/>
          <w:sz w:val="24"/>
          <w:szCs w:val="24"/>
        </w:rPr>
        <w:t>E</w:t>
      </w:r>
      <w:r w:rsidR="00C2403A" w:rsidRPr="00727B0E">
        <w:rPr>
          <w:rFonts w:ascii="Arial" w:hAnsi="Arial" w:cs="Arial"/>
          <w:sz w:val="24"/>
          <w:szCs w:val="24"/>
        </w:rPr>
        <w:t>l conflicto relevante para la administración de justicia no surge de la coexistencia de títulos, sino de la intervención incompatible en un mismo proceso u órgano jurisdiccional.</w:t>
      </w:r>
    </w:p>
    <w:p w14:paraId="66716646" w14:textId="07738BD0" w:rsidR="00C2403A" w:rsidRPr="00727B0E" w:rsidRDefault="00727B0E" w:rsidP="00727B0E">
      <w:pPr>
        <w:spacing w:line="360" w:lineRule="auto"/>
        <w:jc w:val="both"/>
        <w:rPr>
          <w:rFonts w:ascii="Arial" w:hAnsi="Arial" w:cs="Arial"/>
          <w:sz w:val="24"/>
          <w:szCs w:val="24"/>
        </w:rPr>
      </w:pPr>
      <w:r w:rsidRPr="00727B0E">
        <w:rPr>
          <w:rFonts w:ascii="Arial" w:hAnsi="Arial" w:cs="Arial"/>
          <w:sz w:val="24"/>
          <w:szCs w:val="24"/>
        </w:rPr>
        <w:t>Este</w:t>
      </w:r>
      <w:r w:rsidR="00C2403A" w:rsidRPr="00727B0E">
        <w:rPr>
          <w:rFonts w:ascii="Arial" w:hAnsi="Arial" w:cs="Arial"/>
          <w:sz w:val="24"/>
          <w:szCs w:val="24"/>
        </w:rPr>
        <w:t xml:space="preserve"> proyecto adopta este criterio moderno y eficaz, trasladando tales supuestos al régimen de incompatibilidad relativa, con reglas claras, verificables y sancionables, en consonancia con el principio constitucional de razonabilidad (art. 28 de la Constitución Nacional) y con el derecho a trabajar y ejercer profesión lícita (art. 14 de la Constitución Nacional), sin perder de vista el deber de asegurar un adecuado resguardo del interés público.</w:t>
      </w:r>
      <w:r w:rsidRPr="00727B0E">
        <w:rPr>
          <w:rFonts w:ascii="Arial" w:hAnsi="Arial" w:cs="Arial"/>
          <w:sz w:val="24"/>
          <w:szCs w:val="24"/>
        </w:rPr>
        <w:t xml:space="preserve"> E</w:t>
      </w:r>
      <w:r w:rsidR="00C2403A" w:rsidRPr="00727B0E">
        <w:rPr>
          <w:rFonts w:ascii="Arial" w:hAnsi="Arial" w:cs="Arial"/>
          <w:sz w:val="24"/>
          <w:szCs w:val="24"/>
        </w:rPr>
        <w:t>l ajuste propuesto se corresponde con los compromisos asumidos por el Estado argentino en instrumentos internacionales de derechos humanos con jerarquía constitucional (art. 75 inc. 22 de la Constitución Nacional), que reconocen y protegen el derecho al trabajo, a la igualdad</w:t>
      </w:r>
      <w:r w:rsidR="00FC308D" w:rsidRPr="00727B0E">
        <w:rPr>
          <w:rFonts w:ascii="Arial" w:hAnsi="Arial" w:cs="Arial"/>
          <w:sz w:val="24"/>
          <w:szCs w:val="24"/>
        </w:rPr>
        <w:t xml:space="preserve">, no </w:t>
      </w:r>
      <w:r w:rsidRPr="00727B0E">
        <w:rPr>
          <w:rFonts w:ascii="Arial" w:hAnsi="Arial" w:cs="Arial"/>
          <w:sz w:val="24"/>
          <w:szCs w:val="24"/>
        </w:rPr>
        <w:t>regresividad y</w:t>
      </w:r>
      <w:r w:rsidR="00C2403A" w:rsidRPr="00727B0E">
        <w:rPr>
          <w:rFonts w:ascii="Arial" w:hAnsi="Arial" w:cs="Arial"/>
          <w:sz w:val="24"/>
          <w:szCs w:val="24"/>
        </w:rPr>
        <w:t xml:space="preserve"> a la no imposición de restricciones desproporcionadas al ejercicio de derechos.</w:t>
      </w:r>
    </w:p>
    <w:p w14:paraId="49E334BB" w14:textId="7B3388BF" w:rsidR="00C2403A" w:rsidRPr="00727B0E" w:rsidRDefault="00727B0E" w:rsidP="00727B0E">
      <w:pPr>
        <w:spacing w:line="360" w:lineRule="auto"/>
        <w:rPr>
          <w:rFonts w:ascii="Arial" w:hAnsi="Arial" w:cs="Arial"/>
          <w:sz w:val="24"/>
          <w:szCs w:val="24"/>
        </w:rPr>
      </w:pPr>
      <w:r w:rsidRPr="00727B0E">
        <w:rPr>
          <w:rFonts w:ascii="Arial" w:hAnsi="Arial" w:cs="Arial"/>
          <w:sz w:val="24"/>
          <w:szCs w:val="24"/>
        </w:rPr>
        <w:t>M</w:t>
      </w:r>
      <w:r w:rsidR="00C2403A" w:rsidRPr="00727B0E">
        <w:rPr>
          <w:rFonts w:ascii="Arial" w:hAnsi="Arial" w:cs="Arial"/>
          <w:sz w:val="24"/>
          <w:szCs w:val="24"/>
        </w:rPr>
        <w:t xml:space="preserve">antiene como incompatibilidad absoluta la coexistencia del ejercicio de la abogacía con las profesiones de escribano público y martillero público, respecto de las cuales el legislador provincial ha sostenido históricamente un criterio de exclusividad funcional. </w:t>
      </w:r>
      <w:r w:rsidRPr="00727B0E">
        <w:rPr>
          <w:rFonts w:ascii="Arial" w:hAnsi="Arial" w:cs="Arial"/>
          <w:sz w:val="24"/>
          <w:szCs w:val="24"/>
        </w:rPr>
        <w:t>R</w:t>
      </w:r>
      <w:r w:rsidR="00C2403A" w:rsidRPr="00727B0E">
        <w:rPr>
          <w:rFonts w:ascii="Arial" w:hAnsi="Arial" w:cs="Arial"/>
          <w:sz w:val="24"/>
          <w:szCs w:val="24"/>
        </w:rPr>
        <w:t>espeta las decisiones legislativas consolidadas y evita cualquier desnaturalización de regímenes profesionales específicos, preservando un núcleo de incompatibilidades absolutas allí donde la experiencia institucional indica que resulta necesario.</w:t>
      </w:r>
    </w:p>
    <w:p w14:paraId="1614FF65" w14:textId="77777777" w:rsidR="00DD2207" w:rsidRDefault="00727B0E" w:rsidP="00727B0E">
      <w:pPr>
        <w:spacing w:line="360" w:lineRule="auto"/>
        <w:rPr>
          <w:rFonts w:ascii="Arial" w:hAnsi="Arial" w:cs="Arial"/>
          <w:sz w:val="24"/>
          <w:szCs w:val="24"/>
        </w:rPr>
      </w:pPr>
      <w:r w:rsidRPr="00727B0E">
        <w:rPr>
          <w:rFonts w:ascii="Arial" w:hAnsi="Arial" w:cs="Arial"/>
          <w:sz w:val="24"/>
          <w:szCs w:val="24"/>
        </w:rPr>
        <w:t xml:space="preserve">En este sentido </w:t>
      </w:r>
      <w:r w:rsidR="00C2403A" w:rsidRPr="00727B0E">
        <w:rPr>
          <w:rFonts w:ascii="Arial" w:hAnsi="Arial" w:cs="Arial"/>
          <w:sz w:val="24"/>
          <w:szCs w:val="24"/>
        </w:rPr>
        <w:t>la modificación propuesta</w:t>
      </w:r>
      <w:r w:rsidRPr="00727B0E">
        <w:rPr>
          <w:rFonts w:ascii="Arial" w:hAnsi="Arial" w:cs="Arial"/>
          <w:sz w:val="24"/>
          <w:szCs w:val="24"/>
        </w:rPr>
        <w:t xml:space="preserve"> </w:t>
      </w:r>
      <w:r w:rsidR="00C2403A" w:rsidRPr="00727B0E">
        <w:rPr>
          <w:rFonts w:ascii="Arial" w:hAnsi="Arial" w:cs="Arial"/>
          <w:sz w:val="24"/>
          <w:szCs w:val="24"/>
        </w:rPr>
        <w:t>aporta claridad normativa,</w:t>
      </w:r>
      <w:r w:rsidRPr="00727B0E">
        <w:rPr>
          <w:rFonts w:ascii="Arial" w:hAnsi="Arial" w:cs="Arial"/>
          <w:sz w:val="24"/>
          <w:szCs w:val="24"/>
        </w:rPr>
        <w:t xml:space="preserve"> </w:t>
      </w:r>
      <w:r w:rsidR="00C2403A" w:rsidRPr="00727B0E">
        <w:rPr>
          <w:rFonts w:ascii="Arial" w:hAnsi="Arial" w:cs="Arial"/>
          <w:sz w:val="24"/>
          <w:szCs w:val="24"/>
        </w:rPr>
        <w:t>reduce interpretaciones expansivas,</w:t>
      </w:r>
      <w:r w:rsidRPr="00727B0E">
        <w:rPr>
          <w:rFonts w:ascii="Arial" w:hAnsi="Arial" w:cs="Arial"/>
          <w:sz w:val="24"/>
          <w:szCs w:val="24"/>
        </w:rPr>
        <w:t xml:space="preserve"> </w:t>
      </w:r>
      <w:r w:rsidR="00C2403A" w:rsidRPr="00727B0E">
        <w:rPr>
          <w:rFonts w:ascii="Arial" w:hAnsi="Arial" w:cs="Arial"/>
          <w:sz w:val="24"/>
          <w:szCs w:val="24"/>
        </w:rPr>
        <w:t>mejora la previsibilidad para los profesionales y los órganos de control</w:t>
      </w:r>
      <w:r w:rsidRPr="00727B0E">
        <w:rPr>
          <w:rFonts w:ascii="Arial" w:hAnsi="Arial" w:cs="Arial"/>
          <w:sz w:val="24"/>
          <w:szCs w:val="24"/>
        </w:rPr>
        <w:t xml:space="preserve"> </w:t>
      </w:r>
      <w:r w:rsidR="00C2403A" w:rsidRPr="00727B0E">
        <w:rPr>
          <w:rFonts w:ascii="Arial" w:hAnsi="Arial" w:cs="Arial"/>
          <w:sz w:val="24"/>
          <w:szCs w:val="24"/>
        </w:rPr>
        <w:t xml:space="preserve">y fortalece el rol disciplinario de los Colegios y Consejos </w:t>
      </w:r>
    </w:p>
    <w:p w14:paraId="2FEC5EB0" w14:textId="77777777" w:rsidR="00DD2207" w:rsidRDefault="00DD2207" w:rsidP="00727B0E">
      <w:pPr>
        <w:spacing w:line="360" w:lineRule="auto"/>
        <w:rPr>
          <w:rFonts w:ascii="Arial" w:hAnsi="Arial" w:cs="Arial"/>
          <w:sz w:val="24"/>
          <w:szCs w:val="24"/>
        </w:rPr>
      </w:pPr>
    </w:p>
    <w:p w14:paraId="19F954FD" w14:textId="77777777" w:rsidR="00DD2207" w:rsidRDefault="00DD2207" w:rsidP="00727B0E">
      <w:pPr>
        <w:spacing w:line="360" w:lineRule="auto"/>
        <w:rPr>
          <w:rFonts w:ascii="Arial" w:hAnsi="Arial" w:cs="Arial"/>
          <w:sz w:val="24"/>
          <w:szCs w:val="24"/>
        </w:rPr>
      </w:pPr>
    </w:p>
    <w:p w14:paraId="2C8BF8A8" w14:textId="3E968801" w:rsidR="00727B0E" w:rsidRPr="00727B0E" w:rsidRDefault="00C2403A" w:rsidP="00727B0E">
      <w:pPr>
        <w:spacing w:line="360" w:lineRule="auto"/>
        <w:rPr>
          <w:rFonts w:ascii="Arial" w:hAnsi="Arial" w:cs="Arial"/>
          <w:sz w:val="24"/>
          <w:szCs w:val="24"/>
        </w:rPr>
      </w:pPr>
      <w:r w:rsidRPr="00727B0E">
        <w:rPr>
          <w:rFonts w:ascii="Arial" w:hAnsi="Arial" w:cs="Arial"/>
          <w:sz w:val="24"/>
          <w:szCs w:val="24"/>
        </w:rPr>
        <w:t>Profesionales.</w:t>
      </w:r>
      <w:r w:rsidR="00727B0E" w:rsidRPr="00727B0E">
        <w:rPr>
          <w:rFonts w:ascii="Arial" w:hAnsi="Arial" w:cs="Arial"/>
          <w:sz w:val="24"/>
          <w:szCs w:val="24"/>
        </w:rPr>
        <w:t xml:space="preserve"> No debilita el sistema,</w:t>
      </w:r>
      <w:r w:rsidRPr="00727B0E">
        <w:rPr>
          <w:rFonts w:ascii="Arial" w:hAnsi="Arial" w:cs="Arial"/>
          <w:sz w:val="24"/>
          <w:szCs w:val="24"/>
        </w:rPr>
        <w:t xml:space="preserve"> lo torna más coherente, controlable y eficaz, al focalizar la incompatibilidad donde realmente existe riesgo para la imparcialidad y la transparencia.</w:t>
      </w:r>
    </w:p>
    <w:p w14:paraId="3C12FBD5" w14:textId="6F1B66BF" w:rsidR="00C2403A" w:rsidRPr="00727B0E" w:rsidRDefault="00727B0E" w:rsidP="00727B0E">
      <w:pPr>
        <w:spacing w:line="360" w:lineRule="auto"/>
        <w:rPr>
          <w:rFonts w:ascii="Arial" w:hAnsi="Arial" w:cs="Arial"/>
          <w:sz w:val="24"/>
          <w:szCs w:val="24"/>
        </w:rPr>
      </w:pPr>
      <w:r w:rsidRPr="00727B0E">
        <w:rPr>
          <w:rFonts w:ascii="Arial" w:hAnsi="Arial" w:cs="Arial"/>
          <w:sz w:val="24"/>
          <w:szCs w:val="24"/>
        </w:rPr>
        <w:t>L</w:t>
      </w:r>
      <w:r w:rsidR="00C2403A" w:rsidRPr="00727B0E">
        <w:rPr>
          <w:rFonts w:ascii="Arial" w:hAnsi="Arial" w:cs="Arial"/>
          <w:sz w:val="24"/>
          <w:szCs w:val="24"/>
        </w:rPr>
        <w:t xml:space="preserve">a reforma se inscribe en una línea de evolución normativa ya transitada por esta Legislatura: la </w:t>
      </w:r>
      <w:r w:rsidR="00C2403A" w:rsidRPr="00727B0E">
        <w:rPr>
          <w:rFonts w:ascii="Arial" w:hAnsi="Arial" w:cs="Arial"/>
          <w:b/>
          <w:bCs/>
          <w:sz w:val="24"/>
          <w:szCs w:val="24"/>
        </w:rPr>
        <w:t>Ley N.º 11.148</w:t>
      </w:r>
      <w:r w:rsidR="00C2403A" w:rsidRPr="00727B0E">
        <w:rPr>
          <w:rFonts w:ascii="Arial" w:hAnsi="Arial" w:cs="Arial"/>
          <w:sz w:val="24"/>
          <w:szCs w:val="24"/>
        </w:rPr>
        <w:t>, aprobada por ambas Cámaras, derogó un esquema de incompatibilidad profesional de carácter general en el régimen de ciencias económicas, orientándose hacia soluciones más ajustadas a criterios de razonabilidad y control funcional</w:t>
      </w:r>
      <w:r w:rsidR="009835E6" w:rsidRPr="00727B0E">
        <w:rPr>
          <w:rFonts w:ascii="Arial" w:hAnsi="Arial" w:cs="Arial"/>
          <w:sz w:val="24"/>
          <w:szCs w:val="24"/>
        </w:rPr>
        <w:t>, por lo que este</w:t>
      </w:r>
      <w:r w:rsidR="00C2403A" w:rsidRPr="00727B0E">
        <w:rPr>
          <w:rFonts w:ascii="Arial" w:hAnsi="Arial" w:cs="Arial"/>
          <w:sz w:val="24"/>
          <w:szCs w:val="24"/>
        </w:rPr>
        <w:t xml:space="preserve">. </w:t>
      </w:r>
    </w:p>
    <w:p w14:paraId="0399BE26" w14:textId="141A285D" w:rsidR="00CC3776" w:rsidRPr="00727B0E" w:rsidRDefault="00727B0E" w:rsidP="00C2403A">
      <w:pPr>
        <w:spacing w:line="360" w:lineRule="auto"/>
        <w:rPr>
          <w:rFonts w:ascii="Arial" w:hAnsi="Arial" w:cs="Arial"/>
          <w:sz w:val="24"/>
          <w:szCs w:val="24"/>
        </w:rPr>
      </w:pPr>
      <w:r w:rsidRPr="00727B0E">
        <w:rPr>
          <w:rFonts w:ascii="Arial" w:hAnsi="Arial" w:cs="Arial"/>
          <w:sz w:val="24"/>
          <w:szCs w:val="24"/>
        </w:rPr>
        <w:t>En base a estos fundamentos, que reitero, fueron propuestos por profesionales que entienden encuentran en la actual redacción limitaciones e inequidades en cuanto a su desenvolvimiento profesional, solicitamos a nuestros pares la aprobación de la misma.</w:t>
      </w:r>
    </w:p>
    <w:p w14:paraId="60556644" w14:textId="77777777" w:rsidR="00727B0E" w:rsidRDefault="00727B0E" w:rsidP="00C2403A">
      <w:pPr>
        <w:spacing w:line="360" w:lineRule="auto"/>
        <w:rPr>
          <w:rFonts w:ascii="Arial" w:hAnsi="Arial" w:cs="Arial"/>
          <w:sz w:val="24"/>
          <w:szCs w:val="24"/>
        </w:rPr>
      </w:pPr>
    </w:p>
    <w:p w14:paraId="508BF427" w14:textId="77777777" w:rsidR="00ED4EB5" w:rsidRDefault="00ED4EB5" w:rsidP="00C2403A">
      <w:pPr>
        <w:spacing w:line="360" w:lineRule="auto"/>
        <w:rPr>
          <w:rFonts w:ascii="Arial" w:hAnsi="Arial" w:cs="Arial"/>
          <w:sz w:val="24"/>
          <w:szCs w:val="24"/>
        </w:rPr>
      </w:pPr>
    </w:p>
    <w:p w14:paraId="242269B7" w14:textId="77777777" w:rsidR="00ED4EB5" w:rsidRDefault="00ED4EB5" w:rsidP="00C2403A">
      <w:pPr>
        <w:spacing w:line="360" w:lineRule="auto"/>
        <w:rPr>
          <w:rFonts w:ascii="Arial" w:hAnsi="Arial" w:cs="Arial"/>
          <w:sz w:val="24"/>
          <w:szCs w:val="24"/>
        </w:rPr>
      </w:pPr>
    </w:p>
    <w:p w14:paraId="573E5A62" w14:textId="77777777" w:rsidR="00ED4EB5" w:rsidRDefault="00ED4EB5" w:rsidP="00C2403A">
      <w:pPr>
        <w:spacing w:line="360" w:lineRule="auto"/>
        <w:rPr>
          <w:rFonts w:ascii="Arial" w:hAnsi="Arial" w:cs="Arial"/>
          <w:sz w:val="24"/>
          <w:szCs w:val="24"/>
        </w:rPr>
      </w:pPr>
    </w:p>
    <w:p w14:paraId="0E1E57B1" w14:textId="77777777" w:rsidR="00ED4EB5" w:rsidRDefault="00ED4EB5" w:rsidP="00C2403A">
      <w:pPr>
        <w:spacing w:line="360" w:lineRule="auto"/>
        <w:rPr>
          <w:rFonts w:ascii="Arial" w:hAnsi="Arial" w:cs="Arial"/>
          <w:sz w:val="24"/>
          <w:szCs w:val="24"/>
        </w:rPr>
      </w:pPr>
    </w:p>
    <w:p w14:paraId="3D16DEF8" w14:textId="77777777" w:rsidR="00ED4EB5" w:rsidRDefault="00ED4EB5" w:rsidP="00C2403A">
      <w:pPr>
        <w:spacing w:line="360" w:lineRule="auto"/>
        <w:rPr>
          <w:rFonts w:ascii="Arial" w:hAnsi="Arial" w:cs="Arial"/>
          <w:sz w:val="24"/>
          <w:szCs w:val="24"/>
        </w:rPr>
      </w:pPr>
    </w:p>
    <w:p w14:paraId="31749661" w14:textId="77777777" w:rsidR="00ED4EB5" w:rsidRDefault="00ED4EB5" w:rsidP="00C2403A">
      <w:pPr>
        <w:spacing w:line="360" w:lineRule="auto"/>
        <w:rPr>
          <w:rFonts w:ascii="Arial" w:hAnsi="Arial" w:cs="Arial"/>
          <w:sz w:val="24"/>
          <w:szCs w:val="24"/>
        </w:rPr>
      </w:pPr>
    </w:p>
    <w:p w14:paraId="60B9C940" w14:textId="77777777" w:rsidR="00ED4EB5" w:rsidRDefault="00ED4EB5" w:rsidP="00C2403A">
      <w:pPr>
        <w:spacing w:line="360" w:lineRule="auto"/>
        <w:rPr>
          <w:rFonts w:ascii="Arial" w:hAnsi="Arial" w:cs="Arial"/>
          <w:sz w:val="24"/>
          <w:szCs w:val="24"/>
        </w:rPr>
      </w:pPr>
    </w:p>
    <w:p w14:paraId="526A7710" w14:textId="77777777" w:rsidR="00ED4EB5" w:rsidRDefault="00ED4EB5" w:rsidP="00C2403A">
      <w:pPr>
        <w:spacing w:line="360" w:lineRule="auto"/>
        <w:rPr>
          <w:rFonts w:ascii="Arial" w:hAnsi="Arial" w:cs="Arial"/>
          <w:sz w:val="24"/>
          <w:szCs w:val="24"/>
        </w:rPr>
      </w:pPr>
    </w:p>
    <w:p w14:paraId="59668058" w14:textId="77777777" w:rsidR="00ED4EB5" w:rsidRDefault="00ED4EB5" w:rsidP="00C2403A">
      <w:pPr>
        <w:spacing w:line="360" w:lineRule="auto"/>
        <w:rPr>
          <w:rFonts w:ascii="Arial" w:hAnsi="Arial" w:cs="Arial"/>
          <w:sz w:val="24"/>
          <w:szCs w:val="24"/>
        </w:rPr>
      </w:pPr>
    </w:p>
    <w:p w14:paraId="4C56A083" w14:textId="77777777" w:rsidR="00ED4EB5" w:rsidRDefault="00ED4EB5" w:rsidP="00C2403A">
      <w:pPr>
        <w:spacing w:line="360" w:lineRule="auto"/>
        <w:rPr>
          <w:rFonts w:ascii="Arial" w:hAnsi="Arial" w:cs="Arial"/>
          <w:sz w:val="24"/>
          <w:szCs w:val="24"/>
        </w:rPr>
      </w:pPr>
    </w:p>
    <w:p w14:paraId="325894B0" w14:textId="77777777" w:rsidR="00ED4EB5" w:rsidRDefault="00ED4EB5" w:rsidP="00C2403A">
      <w:pPr>
        <w:spacing w:line="360" w:lineRule="auto"/>
        <w:rPr>
          <w:rFonts w:ascii="Arial" w:hAnsi="Arial" w:cs="Arial"/>
          <w:sz w:val="24"/>
          <w:szCs w:val="24"/>
        </w:rPr>
      </w:pPr>
    </w:p>
    <w:p w14:paraId="2A591C43" w14:textId="77777777" w:rsidR="00ED4EB5" w:rsidRDefault="00ED4EB5" w:rsidP="00C2403A">
      <w:pPr>
        <w:spacing w:line="360" w:lineRule="auto"/>
        <w:rPr>
          <w:rFonts w:ascii="Arial" w:hAnsi="Arial" w:cs="Arial"/>
          <w:sz w:val="24"/>
          <w:szCs w:val="24"/>
        </w:rPr>
      </w:pPr>
      <w:bookmarkStart w:id="0" w:name="_GoBack"/>
      <w:bookmarkEnd w:id="0"/>
    </w:p>
    <w:p w14:paraId="379E0817" w14:textId="77777777" w:rsidR="00ED4EB5" w:rsidRDefault="00ED4EB5" w:rsidP="00C2403A">
      <w:pPr>
        <w:spacing w:line="360" w:lineRule="auto"/>
        <w:rPr>
          <w:rFonts w:ascii="Arial" w:hAnsi="Arial" w:cs="Arial"/>
          <w:sz w:val="24"/>
          <w:szCs w:val="24"/>
        </w:rPr>
      </w:pPr>
    </w:p>
    <w:p w14:paraId="44A91FDA" w14:textId="77777777" w:rsidR="00ED4EB5" w:rsidRDefault="00ED4EB5" w:rsidP="00C2403A">
      <w:pPr>
        <w:spacing w:line="360" w:lineRule="auto"/>
        <w:rPr>
          <w:rFonts w:ascii="Arial" w:hAnsi="Arial" w:cs="Arial"/>
          <w:sz w:val="24"/>
          <w:szCs w:val="24"/>
        </w:rPr>
      </w:pPr>
    </w:p>
    <w:p w14:paraId="2737C6EA" w14:textId="2758087E" w:rsidR="00ED4EB5" w:rsidRDefault="00ED6560" w:rsidP="00C2403A">
      <w:pPr>
        <w:spacing w:line="360" w:lineRule="auto"/>
        <w:rPr>
          <w:rFonts w:ascii="Arial" w:hAnsi="Arial" w:cs="Arial"/>
          <w:sz w:val="24"/>
          <w:szCs w:val="24"/>
        </w:rPr>
      </w:pPr>
      <w:r>
        <w:rPr>
          <w:rFonts w:ascii="Arial" w:hAnsi="Arial" w:cs="Arial"/>
          <w:noProof/>
          <w:sz w:val="24"/>
          <w:szCs w:val="24"/>
          <w:lang w:eastAsia="es-AR"/>
        </w:rPr>
        <w:drawing>
          <wp:anchor distT="0" distB="0" distL="114300" distR="114300" simplePos="0" relativeHeight="251658240" behindDoc="0" locked="0" layoutInCell="1" allowOverlap="1" wp14:anchorId="6381388E" wp14:editId="2B1F8C35">
            <wp:simplePos x="0" y="0"/>
            <wp:positionH relativeFrom="column">
              <wp:posOffset>-651510</wp:posOffset>
            </wp:positionH>
            <wp:positionV relativeFrom="paragraph">
              <wp:posOffset>623</wp:posOffset>
            </wp:positionV>
            <wp:extent cx="6790592" cy="1358277"/>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25 at 08.30.06.jpeg"/>
                    <pic:cNvPicPr/>
                  </pic:nvPicPr>
                  <pic:blipFill>
                    <a:blip r:embed="rId5">
                      <a:extLst>
                        <a:ext uri="{28A0092B-C50C-407E-A947-70E740481C1C}">
                          <a14:useLocalDpi xmlns:a14="http://schemas.microsoft.com/office/drawing/2010/main" val="0"/>
                        </a:ext>
                      </a:extLst>
                    </a:blip>
                    <a:stretch>
                      <a:fillRect/>
                    </a:stretch>
                  </pic:blipFill>
                  <pic:spPr>
                    <a:xfrm>
                      <a:off x="0" y="0"/>
                      <a:ext cx="6893807" cy="1378922"/>
                    </a:xfrm>
                    <a:prstGeom prst="rect">
                      <a:avLst/>
                    </a:prstGeom>
                  </pic:spPr>
                </pic:pic>
              </a:graphicData>
            </a:graphic>
            <wp14:sizeRelH relativeFrom="margin">
              <wp14:pctWidth>0</wp14:pctWidth>
            </wp14:sizeRelH>
            <wp14:sizeRelV relativeFrom="margin">
              <wp14:pctHeight>0</wp14:pctHeight>
            </wp14:sizeRelV>
          </wp:anchor>
        </w:drawing>
      </w:r>
    </w:p>
    <w:p w14:paraId="4C806B5D" w14:textId="37B1495B" w:rsidR="00ED4EB5" w:rsidRDefault="00ED4EB5" w:rsidP="00C2403A">
      <w:pPr>
        <w:spacing w:line="360" w:lineRule="auto"/>
        <w:rPr>
          <w:rFonts w:ascii="Arial" w:hAnsi="Arial" w:cs="Arial"/>
          <w:sz w:val="24"/>
          <w:szCs w:val="24"/>
        </w:rPr>
      </w:pPr>
    </w:p>
    <w:p w14:paraId="21D6B4E2" w14:textId="77777777" w:rsidR="00ED4EB5" w:rsidRDefault="00ED4EB5" w:rsidP="00C2403A">
      <w:pPr>
        <w:spacing w:line="360" w:lineRule="auto"/>
        <w:rPr>
          <w:rFonts w:ascii="Arial" w:hAnsi="Arial" w:cs="Arial"/>
          <w:sz w:val="24"/>
          <w:szCs w:val="24"/>
        </w:rPr>
      </w:pPr>
    </w:p>
    <w:p w14:paraId="7228E6B8" w14:textId="1BEEDF0D" w:rsidR="00727B0E" w:rsidRPr="00727B0E" w:rsidRDefault="00727B0E" w:rsidP="00ED4EB5">
      <w:pPr>
        <w:spacing w:line="360" w:lineRule="auto"/>
        <w:rPr>
          <w:rFonts w:ascii="Arial" w:hAnsi="Arial" w:cs="Arial"/>
          <w:sz w:val="24"/>
          <w:szCs w:val="24"/>
        </w:rPr>
      </w:pPr>
    </w:p>
    <w:p w14:paraId="20260203" w14:textId="77777777" w:rsidR="00727B0E" w:rsidRPr="00ED4EB5" w:rsidRDefault="00727B0E" w:rsidP="00727B0E">
      <w:pPr>
        <w:spacing w:line="360" w:lineRule="auto"/>
        <w:rPr>
          <w:rFonts w:ascii="Arial" w:hAnsi="Arial" w:cs="Arial"/>
          <w:b/>
          <w:sz w:val="28"/>
          <w:szCs w:val="28"/>
        </w:rPr>
      </w:pPr>
      <w:r w:rsidRPr="00ED4EB5">
        <w:rPr>
          <w:rFonts w:ascii="Arial" w:hAnsi="Arial" w:cs="Arial"/>
          <w:b/>
          <w:sz w:val="28"/>
          <w:szCs w:val="28"/>
        </w:rPr>
        <w:t>LA LEGISLATURA DE LA PROVINCIA DE ENTRE RÍOS, SANCIONA CON FUERZA DE LEY:</w:t>
      </w:r>
    </w:p>
    <w:p w14:paraId="35DAF631" w14:textId="77777777" w:rsidR="00ED4EB5" w:rsidRDefault="00ED4EB5" w:rsidP="00727B0E">
      <w:pPr>
        <w:spacing w:line="360" w:lineRule="auto"/>
        <w:rPr>
          <w:rFonts w:ascii="Arial" w:hAnsi="Arial" w:cs="Arial"/>
          <w:sz w:val="24"/>
          <w:szCs w:val="24"/>
        </w:rPr>
      </w:pPr>
    </w:p>
    <w:p w14:paraId="32235235" w14:textId="5ABD7EF2" w:rsidR="00727B0E" w:rsidRPr="00727B0E" w:rsidRDefault="00727B0E" w:rsidP="00727B0E">
      <w:pPr>
        <w:spacing w:line="360" w:lineRule="auto"/>
        <w:rPr>
          <w:rFonts w:ascii="Arial" w:hAnsi="Arial" w:cs="Arial"/>
          <w:sz w:val="24"/>
          <w:szCs w:val="24"/>
        </w:rPr>
      </w:pPr>
      <w:r w:rsidRPr="00ED4EB5">
        <w:rPr>
          <w:rFonts w:ascii="Arial" w:hAnsi="Arial" w:cs="Arial"/>
          <w:b/>
          <w:sz w:val="24"/>
          <w:szCs w:val="24"/>
        </w:rPr>
        <w:t>ARTÍCULO 1</w:t>
      </w:r>
      <w:r w:rsidRPr="00727B0E">
        <w:rPr>
          <w:rFonts w:ascii="Arial" w:hAnsi="Arial" w:cs="Arial"/>
          <w:sz w:val="24"/>
          <w:szCs w:val="24"/>
        </w:rPr>
        <w:t>°</w:t>
      </w:r>
      <w:r w:rsidR="00ED4EB5">
        <w:rPr>
          <w:rFonts w:ascii="Arial" w:hAnsi="Arial" w:cs="Arial"/>
          <w:sz w:val="24"/>
          <w:szCs w:val="24"/>
        </w:rPr>
        <w:t>:</w:t>
      </w:r>
      <w:r w:rsidRPr="00727B0E">
        <w:rPr>
          <w:rFonts w:ascii="Arial" w:hAnsi="Arial" w:cs="Arial"/>
          <w:sz w:val="24"/>
          <w:szCs w:val="24"/>
        </w:rPr>
        <w:t xml:space="preserve">.- </w:t>
      </w:r>
      <w:r w:rsidR="00ED4EB5" w:rsidRPr="00727B0E">
        <w:rPr>
          <w:rFonts w:ascii="Arial" w:hAnsi="Arial" w:cs="Arial"/>
          <w:sz w:val="24"/>
          <w:szCs w:val="24"/>
        </w:rPr>
        <w:t>Sustituyese</w:t>
      </w:r>
      <w:r w:rsidRPr="00727B0E">
        <w:rPr>
          <w:rFonts w:ascii="Arial" w:hAnsi="Arial" w:cs="Arial"/>
          <w:sz w:val="24"/>
          <w:szCs w:val="24"/>
        </w:rPr>
        <w:t xml:space="preserve"> el inciso f) del apartado 1.- Absoluta del Artículo 41° de la Ley N</w:t>
      </w:r>
      <w:proofErr w:type="gramStart"/>
      <w:r w:rsidRPr="00727B0E">
        <w:rPr>
          <w:rFonts w:ascii="Arial" w:hAnsi="Arial" w:cs="Arial"/>
          <w:sz w:val="24"/>
          <w:szCs w:val="24"/>
        </w:rPr>
        <w:t>.º</w:t>
      </w:r>
      <w:proofErr w:type="gramEnd"/>
      <w:r w:rsidRPr="00727B0E">
        <w:rPr>
          <w:rFonts w:ascii="Arial" w:hAnsi="Arial" w:cs="Arial"/>
          <w:sz w:val="24"/>
          <w:szCs w:val="24"/>
        </w:rPr>
        <w:t xml:space="preserve"> 10.855, el que quedará re</w:t>
      </w:r>
      <w:r w:rsidR="00DD2207">
        <w:rPr>
          <w:rFonts w:ascii="Arial" w:hAnsi="Arial" w:cs="Arial"/>
          <w:sz w:val="24"/>
          <w:szCs w:val="24"/>
        </w:rPr>
        <w:t xml:space="preserve">dactado de la siguiente manera: </w:t>
      </w:r>
      <w:r w:rsidRPr="00727B0E">
        <w:rPr>
          <w:rFonts w:ascii="Arial" w:hAnsi="Arial" w:cs="Arial"/>
          <w:sz w:val="24"/>
          <w:szCs w:val="24"/>
        </w:rPr>
        <w:t>“f) Abogados/as y procuradores/as que no cancelen su inscripción como escribanos públicos y martilleros públicos.”</w:t>
      </w:r>
    </w:p>
    <w:p w14:paraId="1015928C" w14:textId="6D96193A" w:rsidR="00727B0E" w:rsidRPr="00727B0E" w:rsidRDefault="00727B0E" w:rsidP="00727B0E">
      <w:pPr>
        <w:spacing w:line="360" w:lineRule="auto"/>
        <w:rPr>
          <w:rFonts w:ascii="Arial" w:hAnsi="Arial" w:cs="Arial"/>
          <w:sz w:val="24"/>
          <w:szCs w:val="24"/>
        </w:rPr>
      </w:pPr>
      <w:r w:rsidRPr="00ED4EB5">
        <w:rPr>
          <w:rFonts w:ascii="Arial" w:hAnsi="Arial" w:cs="Arial"/>
          <w:b/>
          <w:sz w:val="24"/>
          <w:szCs w:val="24"/>
        </w:rPr>
        <w:t>ARTÍCULO 2°</w:t>
      </w:r>
      <w:r w:rsidR="00ED4EB5" w:rsidRPr="00ED4EB5">
        <w:rPr>
          <w:rFonts w:ascii="Arial" w:hAnsi="Arial" w:cs="Arial"/>
          <w:b/>
          <w:sz w:val="24"/>
          <w:szCs w:val="24"/>
        </w:rPr>
        <w:t>:</w:t>
      </w:r>
      <w:r w:rsidRPr="00ED4EB5">
        <w:rPr>
          <w:rFonts w:ascii="Arial" w:hAnsi="Arial" w:cs="Arial"/>
          <w:b/>
          <w:sz w:val="24"/>
          <w:szCs w:val="24"/>
        </w:rPr>
        <w:t>.-</w:t>
      </w:r>
      <w:r w:rsidRPr="00727B0E">
        <w:rPr>
          <w:rFonts w:ascii="Arial" w:hAnsi="Arial" w:cs="Arial"/>
          <w:sz w:val="24"/>
          <w:szCs w:val="24"/>
        </w:rPr>
        <w:t xml:space="preserve">   </w:t>
      </w:r>
      <w:r w:rsidR="00ED4EB5" w:rsidRPr="00727B0E">
        <w:rPr>
          <w:rFonts w:ascii="Arial" w:hAnsi="Arial" w:cs="Arial"/>
          <w:sz w:val="24"/>
          <w:szCs w:val="24"/>
        </w:rPr>
        <w:t>Incorporase</w:t>
      </w:r>
      <w:r w:rsidRPr="00727B0E">
        <w:rPr>
          <w:rFonts w:ascii="Arial" w:hAnsi="Arial" w:cs="Arial"/>
          <w:sz w:val="24"/>
          <w:szCs w:val="24"/>
        </w:rPr>
        <w:t xml:space="preserve"> como inciso f) del apartado 2.- Relativa del Artículo 41° de la Ley N.º 10.855, el siguiente:  “ f) El ejercicio de funciones como auxiliar de la justicia, en los procesos y ante los órganos en que se desempeñen dichas funciones, mientras dure la designación.”</w:t>
      </w:r>
    </w:p>
    <w:p w14:paraId="15B93E2E" w14:textId="71B3A6D1" w:rsidR="00727B0E" w:rsidRPr="00727B0E" w:rsidRDefault="00727B0E" w:rsidP="00727B0E">
      <w:pPr>
        <w:spacing w:line="360" w:lineRule="auto"/>
        <w:rPr>
          <w:rFonts w:ascii="Arial" w:hAnsi="Arial" w:cs="Arial"/>
          <w:sz w:val="24"/>
          <w:szCs w:val="24"/>
        </w:rPr>
      </w:pPr>
      <w:r w:rsidRPr="00ED4EB5">
        <w:rPr>
          <w:rFonts w:ascii="Arial" w:hAnsi="Arial" w:cs="Arial"/>
          <w:b/>
          <w:sz w:val="24"/>
          <w:szCs w:val="24"/>
        </w:rPr>
        <w:t>ARTÍCULO 3°</w:t>
      </w:r>
      <w:r w:rsidR="00ED4EB5" w:rsidRPr="00ED4EB5">
        <w:rPr>
          <w:rFonts w:ascii="Arial" w:hAnsi="Arial" w:cs="Arial"/>
          <w:b/>
          <w:sz w:val="24"/>
          <w:szCs w:val="24"/>
        </w:rPr>
        <w:t>:</w:t>
      </w:r>
      <w:r w:rsidRPr="00ED4EB5">
        <w:rPr>
          <w:rFonts w:ascii="Arial" w:hAnsi="Arial" w:cs="Arial"/>
          <w:b/>
          <w:sz w:val="24"/>
          <w:szCs w:val="24"/>
        </w:rPr>
        <w:t>.-</w:t>
      </w:r>
      <w:r w:rsidRPr="00727B0E">
        <w:rPr>
          <w:rFonts w:ascii="Arial" w:hAnsi="Arial" w:cs="Arial"/>
          <w:sz w:val="24"/>
          <w:szCs w:val="24"/>
        </w:rPr>
        <w:t xml:space="preserve">  </w:t>
      </w:r>
      <w:r w:rsidR="00ED4EB5" w:rsidRPr="00727B0E">
        <w:rPr>
          <w:rFonts w:ascii="Arial" w:hAnsi="Arial" w:cs="Arial"/>
          <w:sz w:val="24"/>
          <w:szCs w:val="24"/>
        </w:rPr>
        <w:t>Deróguense</w:t>
      </w:r>
      <w:r w:rsidRPr="00727B0E">
        <w:rPr>
          <w:rFonts w:ascii="Arial" w:hAnsi="Arial" w:cs="Arial"/>
          <w:sz w:val="24"/>
          <w:szCs w:val="24"/>
        </w:rPr>
        <w:t xml:space="preserve"> todas las disposiciones que se opongan a la presente.</w:t>
      </w:r>
    </w:p>
    <w:p w14:paraId="5763A262" w14:textId="14138921" w:rsidR="00727B0E" w:rsidRPr="00727B0E" w:rsidRDefault="00727B0E" w:rsidP="00727B0E">
      <w:pPr>
        <w:spacing w:line="360" w:lineRule="auto"/>
        <w:rPr>
          <w:rFonts w:ascii="Arial" w:hAnsi="Arial" w:cs="Arial"/>
          <w:sz w:val="24"/>
          <w:szCs w:val="24"/>
        </w:rPr>
      </w:pPr>
      <w:r w:rsidRPr="00ED4EB5">
        <w:rPr>
          <w:rFonts w:ascii="Arial" w:hAnsi="Arial" w:cs="Arial"/>
          <w:b/>
          <w:sz w:val="24"/>
          <w:szCs w:val="24"/>
        </w:rPr>
        <w:t>ARTÍCULO 4°</w:t>
      </w:r>
      <w:r w:rsidR="00ED4EB5" w:rsidRPr="00ED4EB5">
        <w:rPr>
          <w:rFonts w:ascii="Arial" w:hAnsi="Arial" w:cs="Arial"/>
          <w:b/>
          <w:sz w:val="24"/>
          <w:szCs w:val="24"/>
        </w:rPr>
        <w:t>:</w:t>
      </w:r>
      <w:r w:rsidRPr="00ED4EB5">
        <w:rPr>
          <w:rFonts w:ascii="Arial" w:hAnsi="Arial" w:cs="Arial"/>
          <w:b/>
          <w:sz w:val="24"/>
          <w:szCs w:val="24"/>
        </w:rPr>
        <w:t>.-</w:t>
      </w:r>
      <w:r w:rsidRPr="00727B0E">
        <w:rPr>
          <w:rFonts w:ascii="Arial" w:hAnsi="Arial" w:cs="Arial"/>
          <w:sz w:val="24"/>
          <w:szCs w:val="24"/>
        </w:rPr>
        <w:t xml:space="preserve">  De forma.</w:t>
      </w:r>
    </w:p>
    <w:sectPr w:rsidR="00727B0E" w:rsidRPr="00727B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DE7"/>
    <w:multiLevelType w:val="hybridMultilevel"/>
    <w:tmpl w:val="EE36187A"/>
    <w:lvl w:ilvl="0" w:tplc="37BEED7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7F019C2"/>
    <w:multiLevelType w:val="multilevel"/>
    <w:tmpl w:val="AAB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3E1839"/>
    <w:multiLevelType w:val="multilevel"/>
    <w:tmpl w:val="ED3E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B14569"/>
    <w:multiLevelType w:val="multilevel"/>
    <w:tmpl w:val="230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3A"/>
    <w:rsid w:val="002D4D5F"/>
    <w:rsid w:val="00346E6A"/>
    <w:rsid w:val="00406DC6"/>
    <w:rsid w:val="00453D9C"/>
    <w:rsid w:val="004F7A0E"/>
    <w:rsid w:val="00726C83"/>
    <w:rsid w:val="00727B0E"/>
    <w:rsid w:val="009705FF"/>
    <w:rsid w:val="009835E6"/>
    <w:rsid w:val="009F44C5"/>
    <w:rsid w:val="00B14A70"/>
    <w:rsid w:val="00BA0378"/>
    <w:rsid w:val="00C2403A"/>
    <w:rsid w:val="00C63C0F"/>
    <w:rsid w:val="00CC3776"/>
    <w:rsid w:val="00D1156F"/>
    <w:rsid w:val="00DD2207"/>
    <w:rsid w:val="00ED4EB5"/>
    <w:rsid w:val="00ED6560"/>
    <w:rsid w:val="00F82829"/>
    <w:rsid w:val="00FC30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6913"/>
  <w15:chartTrackingRefBased/>
  <w15:docId w15:val="{0992974D-D263-42B5-A9A3-E64554E6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4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4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40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40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40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40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0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0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0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0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240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240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240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240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240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0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0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03A"/>
    <w:rPr>
      <w:rFonts w:eastAsiaTheme="majorEastAsia" w:cstheme="majorBidi"/>
      <w:color w:val="272727" w:themeColor="text1" w:themeTint="D8"/>
    </w:rPr>
  </w:style>
  <w:style w:type="paragraph" w:styleId="Puesto">
    <w:name w:val="Title"/>
    <w:basedOn w:val="Normal"/>
    <w:next w:val="Normal"/>
    <w:link w:val="PuestoCar"/>
    <w:uiPriority w:val="10"/>
    <w:qFormat/>
    <w:rsid w:val="00C2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240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0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0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03A"/>
    <w:pPr>
      <w:spacing w:before="160"/>
      <w:jc w:val="center"/>
    </w:pPr>
    <w:rPr>
      <w:i/>
      <w:iCs/>
      <w:color w:val="404040" w:themeColor="text1" w:themeTint="BF"/>
    </w:rPr>
  </w:style>
  <w:style w:type="character" w:customStyle="1" w:styleId="CitaCar">
    <w:name w:val="Cita Car"/>
    <w:basedOn w:val="Fuentedeprrafopredeter"/>
    <w:link w:val="Cita"/>
    <w:uiPriority w:val="29"/>
    <w:rsid w:val="00C2403A"/>
    <w:rPr>
      <w:i/>
      <w:iCs/>
      <w:color w:val="404040" w:themeColor="text1" w:themeTint="BF"/>
    </w:rPr>
  </w:style>
  <w:style w:type="paragraph" w:styleId="Prrafodelista">
    <w:name w:val="List Paragraph"/>
    <w:basedOn w:val="Normal"/>
    <w:uiPriority w:val="34"/>
    <w:qFormat/>
    <w:rsid w:val="00C2403A"/>
    <w:pPr>
      <w:ind w:left="720"/>
      <w:contextualSpacing/>
    </w:pPr>
  </w:style>
  <w:style w:type="character" w:styleId="nfasisintenso">
    <w:name w:val="Intense Emphasis"/>
    <w:basedOn w:val="Fuentedeprrafopredeter"/>
    <w:uiPriority w:val="21"/>
    <w:qFormat/>
    <w:rsid w:val="00C2403A"/>
    <w:rPr>
      <w:i/>
      <w:iCs/>
      <w:color w:val="2F5496" w:themeColor="accent1" w:themeShade="BF"/>
    </w:rPr>
  </w:style>
  <w:style w:type="paragraph" w:styleId="Citadestacada">
    <w:name w:val="Intense Quote"/>
    <w:basedOn w:val="Normal"/>
    <w:next w:val="Normal"/>
    <w:link w:val="CitadestacadaCar"/>
    <w:uiPriority w:val="30"/>
    <w:qFormat/>
    <w:rsid w:val="00C24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403A"/>
    <w:rPr>
      <w:i/>
      <w:iCs/>
      <w:color w:val="2F5496" w:themeColor="accent1" w:themeShade="BF"/>
    </w:rPr>
  </w:style>
  <w:style w:type="character" w:styleId="Referenciaintensa">
    <w:name w:val="Intense Reference"/>
    <w:basedOn w:val="Fuentedeprrafopredeter"/>
    <w:uiPriority w:val="32"/>
    <w:qFormat/>
    <w:rsid w:val="00C240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Guillemo Benedetto</dc:creator>
  <cp:keywords/>
  <dc:description/>
  <cp:lastModifiedBy>Cuenta Microsoft</cp:lastModifiedBy>
  <cp:revision>2</cp:revision>
  <dcterms:created xsi:type="dcterms:W3CDTF">2026-02-25T12:12:00Z</dcterms:created>
  <dcterms:modified xsi:type="dcterms:W3CDTF">2026-02-25T12:12:00Z</dcterms:modified>
</cp:coreProperties>
</file>