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BE85B7" w14:textId="77777777" w:rsidR="00DC2CD5" w:rsidRPr="00C825B6" w:rsidRDefault="00DC2CD5" w:rsidP="00DC2CD5">
      <w:pPr>
        <w:spacing w:after="240"/>
        <w:jc w:val="center"/>
        <w:rPr>
          <w:rFonts w:ascii="Times New Roman" w:eastAsia="Times New Roman" w:hAnsi="Times New Roman" w:cs="Times New Roman"/>
          <w:b/>
          <w:bCs/>
          <w:sz w:val="24"/>
          <w:szCs w:val="24"/>
        </w:rPr>
      </w:pPr>
      <w:r w:rsidRPr="00C825B6">
        <w:rPr>
          <w:rFonts w:ascii="Times New Roman" w:eastAsia="Times New Roman" w:hAnsi="Times New Roman" w:cs="Times New Roman"/>
          <w:b/>
          <w:bCs/>
          <w:sz w:val="24"/>
          <w:szCs w:val="24"/>
        </w:rPr>
        <w:t>FUNDAMENTOS</w:t>
      </w:r>
    </w:p>
    <w:p w14:paraId="621C81AA" w14:textId="77777777" w:rsidR="00DC2CD5" w:rsidRDefault="00DC2CD5" w:rsidP="00DC2CD5">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la Argentina existen más de 250 empresas de capital nacional vinculadas a la fabricación de equipamiento médico, de las cuales más del 90% son pequeñas y medianas firmas (</w:t>
      </w:r>
      <w:proofErr w:type="spellStart"/>
      <w:r>
        <w:rPr>
          <w:rFonts w:ascii="Times New Roman" w:eastAsia="Times New Roman" w:hAnsi="Times New Roman" w:cs="Times New Roman"/>
          <w:sz w:val="24"/>
          <w:szCs w:val="24"/>
        </w:rPr>
        <w:t>PyMEs</w:t>
      </w:r>
      <w:proofErr w:type="spellEnd"/>
      <w:r>
        <w:rPr>
          <w:rFonts w:ascii="Times New Roman" w:eastAsia="Times New Roman" w:hAnsi="Times New Roman" w:cs="Times New Roman"/>
          <w:sz w:val="24"/>
          <w:szCs w:val="24"/>
        </w:rPr>
        <w:t>), según datos correspondientes al año 2019</w:t>
      </w:r>
      <w:r>
        <w:rPr>
          <w:rStyle w:val="Refdenotaalpie"/>
          <w:rFonts w:ascii="Times New Roman" w:eastAsia="Times New Roman" w:hAnsi="Times New Roman" w:cs="Times New Roman"/>
          <w:sz w:val="24"/>
          <w:szCs w:val="24"/>
        </w:rPr>
        <w:footnoteReference w:id="1"/>
      </w:r>
      <w:r>
        <w:rPr>
          <w:rFonts w:ascii="Times New Roman" w:eastAsia="Times New Roman" w:hAnsi="Times New Roman" w:cs="Times New Roman"/>
          <w:sz w:val="24"/>
          <w:szCs w:val="24"/>
        </w:rPr>
        <w:t>. Se trata de un sector productivo que</w:t>
      </w:r>
      <w:r w:rsidRPr="00423E6F">
        <w:rPr>
          <w:rFonts w:ascii="Times New Roman" w:eastAsia="Times New Roman" w:hAnsi="Times New Roman" w:cs="Times New Roman"/>
          <w:sz w:val="24"/>
          <w:szCs w:val="24"/>
        </w:rPr>
        <w:t xml:space="preserve"> comprende </w:t>
      </w:r>
      <w:r>
        <w:rPr>
          <w:rFonts w:ascii="Times New Roman" w:eastAsia="Times New Roman" w:hAnsi="Times New Roman" w:cs="Times New Roman"/>
          <w:sz w:val="24"/>
          <w:szCs w:val="24"/>
        </w:rPr>
        <w:t>la fabricación de bienes destinados a tratamientos médicos y al cuidado hospitalario (excluyendo los productos farmacéuticos y de laboratorio)</w:t>
      </w:r>
      <w:r>
        <w:rPr>
          <w:rStyle w:val="Refdenotaalpie"/>
          <w:rFonts w:ascii="Times New Roman" w:eastAsia="Times New Roman" w:hAnsi="Times New Roman" w:cs="Times New Roman"/>
          <w:sz w:val="24"/>
          <w:szCs w:val="24"/>
        </w:rPr>
        <w:footnoteReference w:id="2"/>
      </w:r>
      <w:r>
        <w:rPr>
          <w:rFonts w:ascii="Times New Roman" w:eastAsia="Times New Roman" w:hAnsi="Times New Roman" w:cs="Times New Roman"/>
          <w:sz w:val="24"/>
          <w:szCs w:val="24"/>
        </w:rPr>
        <w:t xml:space="preserve"> y que reviste una importancia estratégica para el desarrollo nacional y provincial. </w:t>
      </w:r>
    </w:p>
    <w:p w14:paraId="7AA73BD6" w14:textId="77777777" w:rsidR="00DC2CD5" w:rsidRDefault="00DC2CD5" w:rsidP="00DC2CD5">
      <w:pPr>
        <w:spacing w:after="240"/>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efecto, la industria del equipamiento médico contribuye de manera significativa a la autonomía de los sistemas sanitarios –los cuales, en la Argentina, dependen en gran medida de los Estados provinciales–, a la sustitución de importaciones y promoción de exportaciones, a la generación de empleo altamente calificado, a la incorporación de tecnología y a su adaptación a los sistemas locales de producción, entre otros aspectos relevantes.</w:t>
      </w:r>
    </w:p>
    <w:p w14:paraId="7CAF72DB" w14:textId="77777777" w:rsidR="00DC2CD5" w:rsidRDefault="00DC2CD5" w:rsidP="00DC2CD5">
      <w:pPr>
        <w:spacing w:after="240"/>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w:t>
      </w:r>
      <w:proofErr w:type="gramStart"/>
      <w:r>
        <w:rPr>
          <w:rFonts w:ascii="Times New Roman" w:eastAsia="Times New Roman" w:hAnsi="Times New Roman" w:cs="Times New Roman"/>
          <w:sz w:val="24"/>
          <w:szCs w:val="24"/>
        </w:rPr>
        <w:t>obstante</w:t>
      </w:r>
      <w:proofErr w:type="gramEnd"/>
      <w:r>
        <w:rPr>
          <w:rFonts w:ascii="Times New Roman" w:eastAsia="Times New Roman" w:hAnsi="Times New Roman" w:cs="Times New Roman"/>
          <w:sz w:val="24"/>
          <w:szCs w:val="24"/>
        </w:rPr>
        <w:t xml:space="preserve"> el potencial descrito, el sector enfrenta diversas dificultades estructurales, entre las que se destacan las barreras de acceso al financiamiento, las limitaciones para la incorporación de nuevas tecnologías, los elevados costos asociados al desarrollo y la adquisición de patentes, así como un contexto macroeconómico caracterizado por procesos de apertura comercial que afectan la competitividad de la producción nacional.</w:t>
      </w:r>
    </w:p>
    <w:p w14:paraId="71D62DF9" w14:textId="77777777" w:rsidR="00DC2CD5" w:rsidRDefault="00DC2CD5" w:rsidP="00DC2CD5">
      <w:pPr>
        <w:spacing w:after="240"/>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este marco, resulta oportuno destacar que la provincia de Entre Ríos cuenta con un conjunto </w:t>
      </w:r>
      <w:r w:rsidRPr="001B18B6">
        <w:rPr>
          <w:rFonts w:ascii="Times New Roman" w:eastAsia="Times New Roman" w:hAnsi="Times New Roman" w:cs="Times New Roman"/>
          <w:sz w:val="24"/>
          <w:szCs w:val="24"/>
        </w:rPr>
        <w:t>significativo de capacidades favorables para el desarrollo de la industria del equipamiento médico. De acuerdo con relevamientos recientes</w:t>
      </w:r>
      <w:r>
        <w:rPr>
          <w:rStyle w:val="Refdenotaalpie"/>
          <w:rFonts w:ascii="Times New Roman" w:eastAsia="Times New Roman" w:hAnsi="Times New Roman" w:cs="Times New Roman"/>
          <w:sz w:val="24"/>
          <w:szCs w:val="24"/>
        </w:rPr>
        <w:footnoteReference w:id="3"/>
      </w:r>
      <w:r w:rsidRPr="001B18B6">
        <w:rPr>
          <w:rFonts w:ascii="Times New Roman" w:eastAsia="Times New Roman" w:hAnsi="Times New Roman" w:cs="Times New Roman"/>
          <w:sz w:val="24"/>
          <w:szCs w:val="24"/>
        </w:rPr>
        <w:t>, la provincia dispone de un sistema científico-tecnológico robusto, integrado por seis universidades (UADER, UNER, UTN, UAP, UCU y UCA) en las que se dictan 51 carreras vinculadas a la ingeniería y a las ciencias médicas, entre las que se destaca la carrera de Bioingeniería. A ello se suma la presencia de organismos nacionales orientados a la vinculación</w:t>
      </w:r>
      <w:r>
        <w:rPr>
          <w:rFonts w:ascii="Times New Roman" w:eastAsia="Times New Roman" w:hAnsi="Times New Roman" w:cs="Times New Roman"/>
          <w:sz w:val="24"/>
          <w:szCs w:val="24"/>
        </w:rPr>
        <w:t xml:space="preserve"> productiva, como el Instituto Nacional de Tecnología Industrial (INTI), así como la ejecución de 151 proyectos de investigación en curso en las áreas de ingeniería y tecnología. Estas capacidades se ven complementadas por un esquema de promoción impulsado por el Estado provincial, a través de las leyes </w:t>
      </w:r>
      <w:proofErr w:type="spellStart"/>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10.874 (Régimen de Promoción de la Ciencia, la Tecnología y la Innovación) y </w:t>
      </w:r>
      <w:proofErr w:type="spellStart"/>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10.895 (Régimen Provincial de Promoción de la Economía del Conocimiento).</w:t>
      </w:r>
    </w:p>
    <w:p w14:paraId="40AE9162" w14:textId="77777777" w:rsidR="00DC2CD5" w:rsidRDefault="00DC2CD5" w:rsidP="00DC2CD5">
      <w:pPr>
        <w:spacing w:after="240"/>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Sin embargo, pese a este potencial, la producción de equipamiento médico permanece fuertemente concentrada en las jurisdicciones centrales del país, principalmente en la Ciudad Autónoma de Buenos Aires y en las provincias de Buenos Aires, Córdoba y Santa Fe. La provincia de Entre Ríos concentra apenas el 2% de los fabricantes del sector</w:t>
      </w:r>
      <w:r>
        <w:rPr>
          <w:rStyle w:val="Refdenotaalpie"/>
          <w:rFonts w:ascii="Times New Roman" w:eastAsia="Times New Roman" w:hAnsi="Times New Roman" w:cs="Times New Roman"/>
          <w:sz w:val="24"/>
          <w:szCs w:val="24"/>
        </w:rPr>
        <w:footnoteReference w:id="4"/>
      </w:r>
      <w:r>
        <w:rPr>
          <w:rFonts w:ascii="Times New Roman" w:eastAsia="Times New Roman" w:hAnsi="Times New Roman" w:cs="Times New Roman"/>
          <w:sz w:val="24"/>
          <w:szCs w:val="24"/>
        </w:rPr>
        <w:t>, a lo que se suman un número de empresas dedicadas a la prestación de servicios de ingeniería asociados a esta actividad.</w:t>
      </w:r>
    </w:p>
    <w:p w14:paraId="040C340C" w14:textId="77777777" w:rsidR="00DC2CD5" w:rsidRDefault="00DC2CD5" w:rsidP="00DC2CD5">
      <w:pPr>
        <w:spacing w:after="240"/>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ese sentido, se torna </w:t>
      </w:r>
      <w:r w:rsidRPr="00C91C01">
        <w:rPr>
          <w:rFonts w:ascii="Times New Roman" w:eastAsia="Times New Roman" w:hAnsi="Times New Roman" w:cs="Times New Roman"/>
          <w:sz w:val="24"/>
          <w:szCs w:val="24"/>
        </w:rPr>
        <w:t xml:space="preserve">relevante diseñar estrategias de política pública que contribuyan a promover este sector estratégico por parte del Estado provincial. El presente proyecto de ley propone avanzar en tal sentido, mediante el otorgamiento de un bono de crédito fiscal destinado </w:t>
      </w:r>
      <w:r>
        <w:rPr>
          <w:rFonts w:ascii="Times New Roman" w:eastAsia="Times New Roman" w:hAnsi="Times New Roman" w:cs="Times New Roman"/>
          <w:sz w:val="24"/>
          <w:szCs w:val="24"/>
        </w:rPr>
        <w:t>a facilitar</w:t>
      </w:r>
      <w:r w:rsidRPr="00C91C01">
        <w:rPr>
          <w:rFonts w:ascii="Times New Roman" w:eastAsia="Times New Roman" w:hAnsi="Times New Roman" w:cs="Times New Roman"/>
          <w:sz w:val="24"/>
          <w:szCs w:val="24"/>
        </w:rPr>
        <w:t xml:space="preserve"> la contratación de servicios de asistencia técnica por parte de empresas industriales y de servicios vinculadas a los dispositivos médicos. En el caso de las firmas fabricantes, se toma</w:t>
      </w:r>
      <w:r>
        <w:rPr>
          <w:rFonts w:ascii="Times New Roman" w:eastAsia="Times New Roman" w:hAnsi="Times New Roman" w:cs="Times New Roman"/>
          <w:sz w:val="24"/>
          <w:szCs w:val="24"/>
        </w:rPr>
        <w:t xml:space="preserve"> como referencia la regulación establecida por la Ley Provincial </w:t>
      </w:r>
      <w:proofErr w:type="spellStart"/>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11.126, de Regulación y Productos Médicos, a la vez que se excluye de los destinatarios a aquellas empresas que ya se encuentren gozando de los beneficios impositivos fijados en las Leyes de Promoción Industrial (</w:t>
      </w:r>
      <w:proofErr w:type="spellStart"/>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11.071) y de la Economía del Conocimiento (</w:t>
      </w:r>
      <w:proofErr w:type="spellStart"/>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10.895). </w:t>
      </w:r>
    </w:p>
    <w:p w14:paraId="633562DC" w14:textId="77777777" w:rsidR="00DC2CD5" w:rsidRDefault="00DC2CD5" w:rsidP="00DC2CD5">
      <w:pPr>
        <w:spacing w:after="240"/>
        <w:ind w:firstLine="567"/>
        <w:jc w:val="both"/>
        <w:rPr>
          <w:rFonts w:ascii="Times New Roman" w:eastAsia="Times New Roman" w:hAnsi="Times New Roman" w:cs="Times New Roman"/>
          <w:color w:val="EE0000"/>
          <w:sz w:val="24"/>
          <w:szCs w:val="24"/>
        </w:rPr>
      </w:pPr>
      <w:r>
        <w:rPr>
          <w:rFonts w:ascii="Times New Roman" w:eastAsia="Times New Roman" w:hAnsi="Times New Roman" w:cs="Times New Roman"/>
          <w:sz w:val="24"/>
          <w:szCs w:val="24"/>
        </w:rPr>
        <w:t xml:space="preserve">Cabe señalar que el instrumento propuesto (crédito fiscal) cuenta con antecedentes similares en el ámbito provincial, habiendo sido implementado en experiencias previas, como la establecida por la Ley </w:t>
      </w:r>
      <w:proofErr w:type="spellStart"/>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10.591, que creó un Régimen Específico y Transitorio de Incentivos a la Competitividad de las Cadenas de Valor en la provincia de Entre Ríos. Por otro lado</w:t>
      </w:r>
      <w:r w:rsidRPr="0055688A">
        <w:rPr>
          <w:rFonts w:ascii="Times New Roman" w:eastAsia="Times New Roman" w:hAnsi="Times New Roman" w:cs="Times New Roman"/>
          <w:sz w:val="24"/>
          <w:szCs w:val="24"/>
        </w:rPr>
        <w:t xml:space="preserve">, el apoyo público mediante asistencia técnica ha probado ser un instrumento </w:t>
      </w:r>
      <w:r>
        <w:rPr>
          <w:rFonts w:ascii="Times New Roman" w:eastAsia="Times New Roman" w:hAnsi="Times New Roman" w:cs="Times New Roman"/>
          <w:sz w:val="24"/>
          <w:szCs w:val="24"/>
        </w:rPr>
        <w:t>eficaz</w:t>
      </w:r>
      <w:r w:rsidRPr="0055688A">
        <w:rPr>
          <w:rFonts w:ascii="Times New Roman" w:eastAsia="Times New Roman" w:hAnsi="Times New Roman" w:cs="Times New Roman"/>
          <w:sz w:val="24"/>
          <w:szCs w:val="24"/>
        </w:rPr>
        <w:t xml:space="preserve"> para incentivar la competitividad de las firmas, siendo ampliamente utilizado tanto por el gobierno nacional como po</w:t>
      </w:r>
      <w:r>
        <w:rPr>
          <w:rFonts w:ascii="Times New Roman" w:eastAsia="Times New Roman" w:hAnsi="Times New Roman" w:cs="Times New Roman"/>
          <w:sz w:val="24"/>
          <w:szCs w:val="24"/>
        </w:rPr>
        <w:t xml:space="preserve">r distintas </w:t>
      </w:r>
      <w:r w:rsidRPr="0055688A">
        <w:rPr>
          <w:rFonts w:ascii="Times New Roman" w:eastAsia="Times New Roman" w:hAnsi="Times New Roman" w:cs="Times New Roman"/>
          <w:sz w:val="24"/>
          <w:szCs w:val="24"/>
        </w:rPr>
        <w:t xml:space="preserve">provincias y municipios del país. </w:t>
      </w:r>
    </w:p>
    <w:p w14:paraId="121E7C19" w14:textId="77777777" w:rsidR="00DC2CD5" w:rsidRDefault="00DC2CD5" w:rsidP="00DC2CD5">
      <w:pPr>
        <w:spacing w:after="240"/>
        <w:ind w:firstLine="567"/>
        <w:jc w:val="both"/>
        <w:rPr>
          <w:rFonts w:ascii="Times New Roman" w:eastAsia="Times New Roman" w:hAnsi="Times New Roman" w:cs="Times New Roman"/>
          <w:sz w:val="24"/>
          <w:szCs w:val="24"/>
        </w:rPr>
      </w:pPr>
      <w:r w:rsidRPr="00DA6FA9">
        <w:rPr>
          <w:rFonts w:ascii="Times New Roman" w:eastAsia="Times New Roman" w:hAnsi="Times New Roman" w:cs="Times New Roman"/>
          <w:sz w:val="24"/>
          <w:szCs w:val="24"/>
        </w:rPr>
        <w:t xml:space="preserve">A modo de conclusión, </w:t>
      </w:r>
      <w:r>
        <w:rPr>
          <w:rFonts w:ascii="Times New Roman" w:eastAsia="Times New Roman" w:hAnsi="Times New Roman" w:cs="Times New Roman"/>
          <w:sz w:val="24"/>
          <w:szCs w:val="24"/>
        </w:rPr>
        <w:t xml:space="preserve">es importante destacar que </w:t>
      </w:r>
      <w:r w:rsidRPr="00DA6FA9">
        <w:rPr>
          <w:rFonts w:ascii="Times New Roman" w:eastAsia="Times New Roman" w:hAnsi="Times New Roman" w:cs="Times New Roman"/>
          <w:sz w:val="24"/>
          <w:szCs w:val="24"/>
        </w:rPr>
        <w:t>una estrategia de desarrollo integral no</w:t>
      </w:r>
      <w:r>
        <w:rPr>
          <w:rFonts w:ascii="Times New Roman" w:eastAsia="Times New Roman" w:hAnsi="Times New Roman" w:cs="Times New Roman"/>
          <w:sz w:val="24"/>
          <w:szCs w:val="24"/>
        </w:rPr>
        <w:t xml:space="preserve"> debe limitarse </w:t>
      </w:r>
      <w:r w:rsidRPr="00DA6FA9">
        <w:rPr>
          <w:rFonts w:ascii="Times New Roman" w:eastAsia="Times New Roman" w:hAnsi="Times New Roman" w:cs="Times New Roman"/>
          <w:sz w:val="24"/>
          <w:szCs w:val="24"/>
        </w:rPr>
        <w:t>a fortalecer los sectores y actividades ya consolidados</w:t>
      </w:r>
      <w:r>
        <w:rPr>
          <w:rFonts w:ascii="Times New Roman" w:eastAsia="Times New Roman" w:hAnsi="Times New Roman" w:cs="Times New Roman"/>
          <w:sz w:val="24"/>
          <w:szCs w:val="24"/>
        </w:rPr>
        <w:t xml:space="preserve"> –</w:t>
      </w:r>
      <w:r w:rsidRPr="00DA6FA9">
        <w:rPr>
          <w:rFonts w:ascii="Times New Roman" w:eastAsia="Times New Roman" w:hAnsi="Times New Roman" w:cs="Times New Roman"/>
          <w:sz w:val="24"/>
          <w:szCs w:val="24"/>
        </w:rPr>
        <w:t>que</w:t>
      </w:r>
      <w:r>
        <w:rPr>
          <w:rFonts w:ascii="Times New Roman" w:eastAsia="Times New Roman" w:hAnsi="Times New Roman" w:cs="Times New Roman"/>
          <w:sz w:val="24"/>
          <w:szCs w:val="24"/>
        </w:rPr>
        <w:t>, sin duda,</w:t>
      </w:r>
      <w:r w:rsidRPr="00DA6FA9">
        <w:rPr>
          <w:rFonts w:ascii="Times New Roman" w:eastAsia="Times New Roman" w:hAnsi="Times New Roman" w:cs="Times New Roman"/>
          <w:sz w:val="24"/>
          <w:szCs w:val="24"/>
        </w:rPr>
        <w:t xml:space="preserve"> aportan de manera significativa al crecimiento económico regional</w:t>
      </w:r>
      <w:r>
        <w:rPr>
          <w:rFonts w:ascii="Times New Roman" w:eastAsia="Times New Roman" w:hAnsi="Times New Roman" w:cs="Times New Roman"/>
          <w:sz w:val="24"/>
          <w:szCs w:val="24"/>
        </w:rPr>
        <w:t>–</w:t>
      </w:r>
      <w:r w:rsidRPr="00DA6FA9">
        <w:rPr>
          <w:rFonts w:ascii="Times New Roman" w:eastAsia="Times New Roman" w:hAnsi="Times New Roman" w:cs="Times New Roman"/>
          <w:sz w:val="24"/>
          <w:szCs w:val="24"/>
        </w:rPr>
        <w:t xml:space="preserve"> sino que requiere, además, una visión estratégica orientada a promover nuevos sectores y actividades intensivas en conocimiento. En este sentido, el impulso a </w:t>
      </w:r>
      <w:r>
        <w:rPr>
          <w:rFonts w:ascii="Times New Roman" w:eastAsia="Times New Roman" w:hAnsi="Times New Roman" w:cs="Times New Roman"/>
          <w:sz w:val="24"/>
          <w:szCs w:val="24"/>
        </w:rPr>
        <w:t>sectores</w:t>
      </w:r>
      <w:r w:rsidRPr="00DA6FA9">
        <w:rPr>
          <w:rFonts w:ascii="Times New Roman" w:eastAsia="Times New Roman" w:hAnsi="Times New Roman" w:cs="Times New Roman"/>
          <w:sz w:val="24"/>
          <w:szCs w:val="24"/>
        </w:rPr>
        <w:t xml:space="preserve"> que fomenten </w:t>
      </w:r>
      <w:r>
        <w:rPr>
          <w:rFonts w:ascii="Times New Roman" w:eastAsia="Times New Roman" w:hAnsi="Times New Roman" w:cs="Times New Roman"/>
          <w:sz w:val="24"/>
          <w:szCs w:val="24"/>
        </w:rPr>
        <w:t xml:space="preserve">el agregado de valor local, la articulación entre el sistema científico y el sector productivo, la generación de empleo calificado y la diversificación de la estructura económica provincial constituye una herramienta clave para avanzar hacia un modelo desarrollo productivo sostenible en la provincia de Entre Ríos, </w:t>
      </w:r>
      <w:r w:rsidRPr="00C233ED">
        <w:rPr>
          <w:rFonts w:ascii="Times New Roman" w:eastAsia="Times New Roman" w:hAnsi="Times New Roman" w:cs="Times New Roman"/>
          <w:sz w:val="24"/>
          <w:szCs w:val="24"/>
        </w:rPr>
        <w:t>acorde a los desafíos y requerimientos del siglo XXI.</w:t>
      </w:r>
      <w:r>
        <w:rPr>
          <w:rFonts w:ascii="Times New Roman" w:eastAsia="Times New Roman" w:hAnsi="Times New Roman" w:cs="Times New Roman"/>
          <w:sz w:val="24"/>
          <w:szCs w:val="24"/>
        </w:rPr>
        <w:t xml:space="preserve"> </w:t>
      </w:r>
    </w:p>
    <w:p w14:paraId="368B8D52" w14:textId="42ACF497" w:rsidR="00DC2CD5" w:rsidRDefault="00DC2CD5" w:rsidP="00DC2CD5">
      <w:pPr>
        <w:spacing w:after="240"/>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 las razones expuestas, solicito a mis pares </w:t>
      </w:r>
      <w:r w:rsidR="00CF1844">
        <w:rPr>
          <w:rFonts w:ascii="Times New Roman" w:eastAsia="Times New Roman" w:hAnsi="Times New Roman" w:cs="Times New Roman"/>
          <w:sz w:val="24"/>
          <w:szCs w:val="24"/>
        </w:rPr>
        <w:t>que acompañen</w:t>
      </w:r>
      <w:r>
        <w:rPr>
          <w:rFonts w:ascii="Times New Roman" w:eastAsia="Times New Roman" w:hAnsi="Times New Roman" w:cs="Times New Roman"/>
          <w:sz w:val="24"/>
          <w:szCs w:val="24"/>
        </w:rPr>
        <w:t xml:space="preserve"> la presente iniciativa.</w:t>
      </w:r>
    </w:p>
    <w:p w14:paraId="22B94C25" w14:textId="77777777" w:rsidR="00DC2CD5" w:rsidRPr="00910976" w:rsidRDefault="00DC2CD5" w:rsidP="00DC2CD5">
      <w:pPr>
        <w:jc w:val="right"/>
        <w:rPr>
          <w:rFonts w:ascii="Times New Roman" w:eastAsia="Times New Roman" w:hAnsi="Times New Roman" w:cs="Times New Roman"/>
          <w:b/>
          <w:bCs/>
          <w:sz w:val="24"/>
          <w:szCs w:val="24"/>
        </w:rPr>
      </w:pPr>
      <w:r w:rsidRPr="00910976">
        <w:rPr>
          <w:rFonts w:ascii="Times New Roman" w:eastAsia="Times New Roman" w:hAnsi="Times New Roman" w:cs="Times New Roman"/>
          <w:b/>
          <w:bCs/>
          <w:sz w:val="24"/>
          <w:szCs w:val="24"/>
        </w:rPr>
        <w:t>Sen. Juan Pablo COSSO</w:t>
      </w:r>
    </w:p>
    <w:p w14:paraId="12D10FC4" w14:textId="6257B99A" w:rsidR="00DC2CD5" w:rsidRDefault="00DC2CD5" w:rsidP="00DC2CD5">
      <w:pPr>
        <w:jc w:val="right"/>
        <w:rPr>
          <w:rFonts w:ascii="Times New Roman" w:eastAsia="Times New Roman" w:hAnsi="Times New Roman" w:cs="Times New Roman"/>
          <w:b/>
          <w:bCs/>
          <w:sz w:val="24"/>
          <w:szCs w:val="24"/>
        </w:rPr>
      </w:pPr>
      <w:r>
        <w:rPr>
          <w:rFonts w:ascii="Times New Roman" w:eastAsia="Times New Roman" w:hAnsi="Times New Roman" w:cs="Times New Roman"/>
          <w:sz w:val="24"/>
          <w:szCs w:val="24"/>
        </w:rPr>
        <w:t>Departamento Villaguay</w:t>
      </w:r>
    </w:p>
    <w:p w14:paraId="09B1BA99" w14:textId="77777777" w:rsidR="00DC2CD5" w:rsidRDefault="00DC2CD5" w:rsidP="002E6B2F">
      <w:pPr>
        <w:jc w:val="center"/>
        <w:rPr>
          <w:rFonts w:ascii="Times New Roman" w:eastAsia="Times New Roman" w:hAnsi="Times New Roman" w:cs="Times New Roman"/>
          <w:b/>
          <w:bCs/>
          <w:sz w:val="24"/>
          <w:szCs w:val="24"/>
        </w:rPr>
      </w:pPr>
    </w:p>
    <w:p w14:paraId="7B8ECBA6" w14:textId="77777777" w:rsidR="00DC2CD5" w:rsidRDefault="00000000" w:rsidP="00DC2CD5">
      <w:pPr>
        <w:spacing w:after="24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LA LEGISLATURA DE LA PROVINCIA DE ENTRE RÍOS, SANCIONA CON FUERZA DE</w:t>
      </w:r>
    </w:p>
    <w:p w14:paraId="4803FF04" w14:textId="101E7583" w:rsidR="001F1BF8" w:rsidRDefault="00000000" w:rsidP="00DC2CD5">
      <w:pPr>
        <w:spacing w:after="24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LEY:</w:t>
      </w:r>
    </w:p>
    <w:p w14:paraId="5C5B17F0" w14:textId="77777777" w:rsidR="001F1BF8" w:rsidRDefault="00000000" w:rsidP="00C825B6">
      <w:pPr>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CRÉDITO FISCAL PARA FABRICANTES DE PRODUCTOS MÉDICOS Y SERVICIOS DE INGENIERÍA ASOCIADOS</w:t>
      </w:r>
    </w:p>
    <w:p w14:paraId="4E67CF6D" w14:textId="226E1051" w:rsidR="005760C2" w:rsidRPr="002E6B2F" w:rsidRDefault="005760C2" w:rsidP="005760C2">
      <w:pPr>
        <w:spacing w:before="240" w:after="240"/>
        <w:jc w:val="both"/>
        <w:rPr>
          <w:rFonts w:ascii="Times New Roman" w:hAnsi="Times New Roman" w:cs="Times New Roman"/>
          <w:sz w:val="24"/>
          <w:szCs w:val="24"/>
          <w:lang w:val="es-AR"/>
        </w:rPr>
      </w:pPr>
      <w:r w:rsidRPr="002E6B2F">
        <w:rPr>
          <w:rFonts w:ascii="Times New Roman" w:hAnsi="Times New Roman" w:cs="Times New Roman"/>
          <w:b/>
          <w:bCs/>
          <w:sz w:val="24"/>
          <w:szCs w:val="24"/>
          <w:lang w:val="es-AR"/>
        </w:rPr>
        <w:t>ARTÍCULO 1°</w:t>
      </w:r>
      <w:r w:rsidR="00454BD7" w:rsidRPr="002E6B2F">
        <w:rPr>
          <w:rFonts w:ascii="Times New Roman" w:hAnsi="Times New Roman" w:cs="Times New Roman"/>
          <w:b/>
          <w:bCs/>
          <w:sz w:val="24"/>
          <w:szCs w:val="24"/>
          <w:lang w:val="es-AR"/>
        </w:rPr>
        <w:t>.-</w:t>
      </w:r>
      <w:r w:rsidRPr="002E6B2F">
        <w:rPr>
          <w:rFonts w:ascii="Times New Roman" w:hAnsi="Times New Roman" w:cs="Times New Roman"/>
          <w:b/>
          <w:bCs/>
          <w:sz w:val="24"/>
          <w:szCs w:val="24"/>
          <w:lang w:val="es-AR"/>
        </w:rPr>
        <w:t xml:space="preserve"> Objeto.</w:t>
      </w:r>
      <w:r w:rsidRPr="002E6B2F">
        <w:rPr>
          <w:rFonts w:ascii="Times New Roman" w:hAnsi="Times New Roman" w:cs="Times New Roman"/>
          <w:sz w:val="24"/>
          <w:szCs w:val="24"/>
          <w:lang w:val="es-AR"/>
        </w:rPr>
        <w:t xml:space="preserve"> </w:t>
      </w:r>
      <w:proofErr w:type="spellStart"/>
      <w:r w:rsidRPr="002E6B2F">
        <w:rPr>
          <w:rFonts w:ascii="Times New Roman" w:hAnsi="Times New Roman" w:cs="Times New Roman"/>
          <w:sz w:val="24"/>
          <w:szCs w:val="24"/>
          <w:lang w:val="es-AR"/>
        </w:rPr>
        <w:t>Establécese</w:t>
      </w:r>
      <w:proofErr w:type="spellEnd"/>
      <w:r w:rsidRPr="002E6B2F">
        <w:rPr>
          <w:rFonts w:ascii="Times New Roman" w:hAnsi="Times New Roman" w:cs="Times New Roman"/>
          <w:sz w:val="24"/>
          <w:szCs w:val="24"/>
          <w:lang w:val="es-AR"/>
        </w:rPr>
        <w:t xml:space="preserve"> un régimen de crédito fiscal destinado a las empresas fabricantes de productos médicos comprendidas en la Ley Provincial </w:t>
      </w:r>
      <w:proofErr w:type="spellStart"/>
      <w:r w:rsidRPr="002E6B2F">
        <w:rPr>
          <w:rFonts w:ascii="Times New Roman" w:hAnsi="Times New Roman" w:cs="Times New Roman"/>
          <w:sz w:val="24"/>
          <w:szCs w:val="24"/>
          <w:lang w:val="es-AR"/>
        </w:rPr>
        <w:t>N°</w:t>
      </w:r>
      <w:proofErr w:type="spellEnd"/>
      <w:r w:rsidRPr="002E6B2F">
        <w:rPr>
          <w:rFonts w:ascii="Times New Roman" w:hAnsi="Times New Roman" w:cs="Times New Roman"/>
          <w:sz w:val="24"/>
          <w:szCs w:val="24"/>
          <w:lang w:val="es-AR"/>
        </w:rPr>
        <w:t xml:space="preserve"> 11.126, de Regulación de Productos Médicos, y a aquellas empresas que brinden servicios de ingeniería asociados a dicha actividad, que </w:t>
      </w:r>
      <w:r w:rsidR="00454BD7" w:rsidRPr="002E6B2F">
        <w:rPr>
          <w:rFonts w:ascii="Times New Roman" w:hAnsi="Times New Roman" w:cs="Times New Roman"/>
          <w:sz w:val="24"/>
          <w:szCs w:val="24"/>
          <w:lang w:val="es-AR"/>
        </w:rPr>
        <w:t xml:space="preserve">estén radicadas en </w:t>
      </w:r>
      <w:r w:rsidRPr="002E6B2F">
        <w:rPr>
          <w:rFonts w:ascii="Times New Roman" w:hAnsi="Times New Roman" w:cs="Times New Roman"/>
          <w:sz w:val="24"/>
          <w:szCs w:val="24"/>
          <w:lang w:val="es-AR"/>
        </w:rPr>
        <w:t xml:space="preserve">la provincia de Entre Ríos y que no se encuentren comprendidas en los beneficios previstos por las Leyes Provinciales </w:t>
      </w:r>
      <w:proofErr w:type="spellStart"/>
      <w:r w:rsidRPr="002E6B2F">
        <w:rPr>
          <w:rFonts w:ascii="Times New Roman" w:hAnsi="Times New Roman" w:cs="Times New Roman"/>
          <w:sz w:val="24"/>
          <w:szCs w:val="24"/>
          <w:lang w:val="es-AR"/>
        </w:rPr>
        <w:t>N</w:t>
      </w:r>
      <w:r w:rsidR="00454BD7" w:rsidRPr="002E6B2F">
        <w:rPr>
          <w:rFonts w:ascii="Times New Roman" w:hAnsi="Times New Roman" w:cs="Times New Roman"/>
          <w:sz w:val="24"/>
          <w:szCs w:val="24"/>
          <w:lang w:val="es-AR"/>
        </w:rPr>
        <w:t>°</w:t>
      </w:r>
      <w:proofErr w:type="spellEnd"/>
      <w:r w:rsidRPr="002E6B2F">
        <w:rPr>
          <w:rFonts w:ascii="Times New Roman" w:hAnsi="Times New Roman" w:cs="Times New Roman"/>
          <w:sz w:val="24"/>
          <w:szCs w:val="24"/>
          <w:lang w:val="es-AR"/>
        </w:rPr>
        <w:t xml:space="preserve"> 10.895 y </w:t>
      </w:r>
      <w:proofErr w:type="spellStart"/>
      <w:r w:rsidR="00454BD7" w:rsidRPr="002E6B2F">
        <w:rPr>
          <w:rFonts w:ascii="Times New Roman" w:hAnsi="Times New Roman" w:cs="Times New Roman"/>
          <w:sz w:val="24"/>
          <w:szCs w:val="24"/>
          <w:lang w:val="es-AR"/>
        </w:rPr>
        <w:t>N°</w:t>
      </w:r>
      <w:proofErr w:type="spellEnd"/>
      <w:r w:rsidR="00454BD7" w:rsidRPr="002E6B2F">
        <w:rPr>
          <w:rFonts w:ascii="Times New Roman" w:hAnsi="Times New Roman" w:cs="Times New Roman"/>
          <w:sz w:val="24"/>
          <w:szCs w:val="24"/>
          <w:lang w:val="es-AR"/>
        </w:rPr>
        <w:t xml:space="preserve"> </w:t>
      </w:r>
      <w:r w:rsidRPr="002E6B2F">
        <w:rPr>
          <w:rFonts w:ascii="Times New Roman" w:hAnsi="Times New Roman" w:cs="Times New Roman"/>
          <w:sz w:val="24"/>
          <w:szCs w:val="24"/>
          <w:lang w:val="es-AR"/>
        </w:rPr>
        <w:t>11.071.</w:t>
      </w:r>
    </w:p>
    <w:p w14:paraId="3380453E" w14:textId="1D2CA7A7" w:rsidR="005760C2" w:rsidRPr="002E6B2F" w:rsidRDefault="005760C2" w:rsidP="00C825B6">
      <w:pPr>
        <w:spacing w:before="240" w:after="240"/>
        <w:jc w:val="both"/>
        <w:rPr>
          <w:rFonts w:ascii="Times New Roman" w:hAnsi="Times New Roman" w:cs="Times New Roman"/>
          <w:sz w:val="24"/>
          <w:szCs w:val="24"/>
          <w:lang w:val="es-AR"/>
        </w:rPr>
      </w:pPr>
      <w:r w:rsidRPr="002E6B2F">
        <w:rPr>
          <w:rFonts w:ascii="Times New Roman" w:hAnsi="Times New Roman" w:cs="Times New Roman"/>
          <w:sz w:val="24"/>
          <w:szCs w:val="24"/>
          <w:lang w:val="es-AR"/>
        </w:rPr>
        <w:t>El bono de crédito fiscal será aplicable a la cancelación de obligaciones fiscales provinciales emergentes con la Administradora Tributaria de Entre Ríos (ATER), en los términos y condiciones que establezca la presente ley y su reglamentación.</w:t>
      </w:r>
    </w:p>
    <w:p w14:paraId="2BD0865B" w14:textId="2D4DEFAD" w:rsidR="001F1BF8" w:rsidRDefault="00000000" w:rsidP="00C825B6">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ARTÍCULO 2°</w:t>
      </w:r>
      <w:r w:rsidR="00454BD7">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Destino. </w:t>
      </w:r>
      <w:r>
        <w:rPr>
          <w:rFonts w:ascii="Times New Roman" w:eastAsia="Times New Roman" w:hAnsi="Times New Roman" w:cs="Times New Roman"/>
          <w:sz w:val="24"/>
          <w:szCs w:val="24"/>
        </w:rPr>
        <w:t>El bono de crédito fiscal establecido en el Artículo 1° deberá destinarse a la contratación de servicios de asistencia técnica que contribuyan a mejorar la competitividad de la empresa beneficiaria en lo relativo a</w:t>
      </w:r>
      <w:r w:rsidR="00AD28ED">
        <w:rPr>
          <w:rFonts w:ascii="Times New Roman" w:eastAsia="Times New Roman" w:hAnsi="Times New Roman" w:cs="Times New Roman"/>
          <w:sz w:val="24"/>
          <w:szCs w:val="24"/>
        </w:rPr>
        <w:t>l cumplimiento de</w:t>
      </w:r>
      <w:r>
        <w:rPr>
          <w:rFonts w:ascii="Times New Roman" w:eastAsia="Times New Roman" w:hAnsi="Times New Roman" w:cs="Times New Roman"/>
          <w:sz w:val="24"/>
          <w:szCs w:val="24"/>
        </w:rPr>
        <w:t xml:space="preserve"> estándares de calidad, diseño, </w:t>
      </w:r>
      <w:r>
        <w:rPr>
          <w:rFonts w:ascii="Times New Roman" w:eastAsia="Times New Roman" w:hAnsi="Times New Roman" w:cs="Times New Roman"/>
          <w:sz w:val="24"/>
          <w:szCs w:val="24"/>
          <w:highlight w:val="white"/>
        </w:rPr>
        <w:t xml:space="preserve">tecnologías de producción, infraestructura </w:t>
      </w:r>
      <w:r w:rsidR="00910976">
        <w:rPr>
          <w:rFonts w:ascii="Times New Roman" w:eastAsia="Times New Roman" w:hAnsi="Times New Roman" w:cs="Times New Roman"/>
          <w:sz w:val="24"/>
          <w:szCs w:val="24"/>
          <w:highlight w:val="white"/>
        </w:rPr>
        <w:t>o</w:t>
      </w:r>
      <w:r>
        <w:rPr>
          <w:rFonts w:ascii="Times New Roman" w:eastAsia="Times New Roman" w:hAnsi="Times New Roman" w:cs="Times New Roman"/>
          <w:sz w:val="24"/>
          <w:szCs w:val="24"/>
          <w:highlight w:val="white"/>
        </w:rPr>
        <w:t xml:space="preserve"> marketing</w:t>
      </w:r>
      <w:r w:rsidR="00910976">
        <w:rPr>
          <w:rFonts w:ascii="Times New Roman" w:eastAsia="Times New Roman" w:hAnsi="Times New Roman" w:cs="Times New Roman"/>
          <w:sz w:val="24"/>
          <w:szCs w:val="24"/>
          <w:highlight w:val="white"/>
        </w:rPr>
        <w:t xml:space="preserve">. La enumeración </w:t>
      </w:r>
      <w:r w:rsidR="003C0C3A">
        <w:rPr>
          <w:rFonts w:ascii="Times New Roman" w:eastAsia="Times New Roman" w:hAnsi="Times New Roman" w:cs="Times New Roman"/>
          <w:sz w:val="24"/>
          <w:szCs w:val="24"/>
          <w:highlight w:val="white"/>
        </w:rPr>
        <w:t xml:space="preserve">precedente </w:t>
      </w:r>
      <w:r w:rsidR="00910976">
        <w:rPr>
          <w:rFonts w:ascii="Times New Roman" w:eastAsia="Times New Roman" w:hAnsi="Times New Roman" w:cs="Times New Roman"/>
          <w:sz w:val="24"/>
          <w:szCs w:val="24"/>
          <w:highlight w:val="white"/>
        </w:rPr>
        <w:t xml:space="preserve">no es taxativa. </w:t>
      </w:r>
      <w:r>
        <w:rPr>
          <w:rFonts w:ascii="Times New Roman" w:eastAsia="Times New Roman" w:hAnsi="Times New Roman" w:cs="Times New Roman"/>
          <w:sz w:val="24"/>
          <w:szCs w:val="24"/>
          <w:highlight w:val="white"/>
        </w:rPr>
        <w:t xml:space="preserve"> </w:t>
      </w:r>
    </w:p>
    <w:p w14:paraId="79BF2786" w14:textId="77777777" w:rsidR="001F1BF8" w:rsidRDefault="001F1BF8" w:rsidP="00C825B6">
      <w:pPr>
        <w:jc w:val="both"/>
        <w:rPr>
          <w:rFonts w:ascii="Times New Roman" w:eastAsia="Times New Roman" w:hAnsi="Times New Roman" w:cs="Times New Roman"/>
          <w:sz w:val="24"/>
          <w:szCs w:val="24"/>
          <w:highlight w:val="yellow"/>
        </w:rPr>
      </w:pPr>
    </w:p>
    <w:p w14:paraId="355C310C" w14:textId="16E9F89D" w:rsidR="001F1BF8" w:rsidRDefault="00000000" w:rsidP="00C825B6">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ARTÍCULO 3°</w:t>
      </w:r>
      <w:r w:rsidR="00454BD7">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w:t>
      </w:r>
      <w:r w:rsidR="003C0C3A">
        <w:rPr>
          <w:rFonts w:ascii="Times New Roman" w:eastAsia="Times New Roman" w:hAnsi="Times New Roman" w:cs="Times New Roman"/>
          <w:b/>
          <w:bCs/>
          <w:sz w:val="24"/>
          <w:szCs w:val="24"/>
        </w:rPr>
        <w:t>Convocatoria y evaluación</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El Poder Ejecutivo Provincial, a través de los organismos que </w:t>
      </w:r>
      <w:r w:rsidR="00910976">
        <w:rPr>
          <w:rFonts w:ascii="Times New Roman" w:eastAsia="Times New Roman" w:hAnsi="Times New Roman" w:cs="Times New Roman"/>
          <w:sz w:val="24"/>
          <w:szCs w:val="24"/>
        </w:rPr>
        <w:t>correspondan</w:t>
      </w:r>
      <w:r>
        <w:rPr>
          <w:rFonts w:ascii="Times New Roman" w:eastAsia="Times New Roman" w:hAnsi="Times New Roman" w:cs="Times New Roman"/>
          <w:sz w:val="24"/>
          <w:szCs w:val="24"/>
        </w:rPr>
        <w:t xml:space="preserve">, realizará las convocatorias y la evaluación de los proyectos presentados para el otorgamiento del bono de crédito fiscal previsto en la presente ley. A tal efecto, podrá </w:t>
      </w:r>
      <w:r w:rsidR="005F6737">
        <w:rPr>
          <w:rFonts w:ascii="Times New Roman" w:eastAsia="Times New Roman" w:hAnsi="Times New Roman" w:cs="Times New Roman"/>
          <w:sz w:val="24"/>
          <w:szCs w:val="24"/>
        </w:rPr>
        <w:t>realizar acciones de cooperación con</w:t>
      </w:r>
      <w:r>
        <w:rPr>
          <w:rFonts w:ascii="Times New Roman" w:eastAsia="Times New Roman" w:hAnsi="Times New Roman" w:cs="Times New Roman"/>
          <w:sz w:val="24"/>
          <w:szCs w:val="24"/>
        </w:rPr>
        <w:t xml:space="preserve"> la Universidad Autónoma de Entre Ríos (UADER), la Universidad Nacional de Entre Ríos (UNER)</w:t>
      </w:r>
      <w:r w:rsidR="0091097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la Universidad Tecnológica Nacional (UTN)</w:t>
      </w:r>
      <w:r w:rsidR="00910976">
        <w:rPr>
          <w:rFonts w:ascii="Times New Roman" w:eastAsia="Times New Roman" w:hAnsi="Times New Roman" w:cs="Times New Roman"/>
          <w:sz w:val="24"/>
          <w:szCs w:val="24"/>
        </w:rPr>
        <w:t xml:space="preserve"> y el Instituto </w:t>
      </w:r>
      <w:r w:rsidR="005F1EE8">
        <w:rPr>
          <w:rFonts w:ascii="Times New Roman" w:eastAsia="Times New Roman" w:hAnsi="Times New Roman" w:cs="Times New Roman"/>
          <w:sz w:val="24"/>
          <w:szCs w:val="24"/>
        </w:rPr>
        <w:t xml:space="preserve">Nacional </w:t>
      </w:r>
      <w:r w:rsidR="00910976">
        <w:rPr>
          <w:rFonts w:ascii="Times New Roman" w:eastAsia="Times New Roman" w:hAnsi="Times New Roman" w:cs="Times New Roman"/>
          <w:sz w:val="24"/>
          <w:szCs w:val="24"/>
        </w:rPr>
        <w:t>de Tecnología Industrial (INTI)</w:t>
      </w:r>
      <w:r>
        <w:rPr>
          <w:rFonts w:ascii="Times New Roman" w:eastAsia="Times New Roman" w:hAnsi="Times New Roman" w:cs="Times New Roman"/>
          <w:sz w:val="24"/>
          <w:szCs w:val="24"/>
        </w:rPr>
        <w:t>.</w:t>
      </w:r>
    </w:p>
    <w:p w14:paraId="2CD26C75" w14:textId="77777777" w:rsidR="001F1BF8" w:rsidRDefault="001F1BF8" w:rsidP="00C825B6">
      <w:pPr>
        <w:jc w:val="both"/>
        <w:rPr>
          <w:rFonts w:ascii="Times New Roman" w:eastAsia="Times New Roman" w:hAnsi="Times New Roman" w:cs="Times New Roman"/>
          <w:sz w:val="24"/>
          <w:szCs w:val="24"/>
        </w:rPr>
      </w:pPr>
    </w:p>
    <w:p w14:paraId="1F9788D7" w14:textId="6E24E531" w:rsidR="001F1BF8" w:rsidRDefault="00000000" w:rsidP="00C825B6">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ARTÍCULO 4°</w:t>
      </w:r>
      <w:r w:rsidR="00454BD7">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Cupos.</w:t>
      </w:r>
      <w:r>
        <w:rPr>
          <w:rFonts w:ascii="Times New Roman" w:eastAsia="Times New Roman" w:hAnsi="Times New Roman" w:cs="Times New Roman"/>
          <w:sz w:val="24"/>
          <w:szCs w:val="24"/>
        </w:rPr>
        <w:t xml:space="preserve"> El Poder Ejecutivo Provincial, a través del Ministerio de Hacienda y Finanzas</w:t>
      </w:r>
      <w:r w:rsidR="008615C4">
        <w:rPr>
          <w:rFonts w:ascii="Times New Roman" w:eastAsia="Times New Roman" w:hAnsi="Times New Roman" w:cs="Times New Roman"/>
          <w:sz w:val="24"/>
          <w:szCs w:val="24"/>
        </w:rPr>
        <w:t xml:space="preserve"> o el organismo que en el futuro lo reemplace</w:t>
      </w:r>
      <w:r>
        <w:rPr>
          <w:rFonts w:ascii="Times New Roman" w:eastAsia="Times New Roman" w:hAnsi="Times New Roman" w:cs="Times New Roman"/>
          <w:sz w:val="24"/>
          <w:szCs w:val="24"/>
        </w:rPr>
        <w:t xml:space="preserve">, fijará anualmente los cupos y montos máximos de los créditos fiscales establecidos en la presente ley. </w:t>
      </w:r>
    </w:p>
    <w:p w14:paraId="13696CC3" w14:textId="77777777" w:rsidR="001F1BF8" w:rsidRDefault="001F1BF8" w:rsidP="00C825B6">
      <w:pPr>
        <w:jc w:val="both"/>
        <w:rPr>
          <w:rFonts w:ascii="Times New Roman" w:eastAsia="Times New Roman" w:hAnsi="Times New Roman" w:cs="Times New Roman"/>
          <w:sz w:val="24"/>
          <w:szCs w:val="24"/>
        </w:rPr>
      </w:pPr>
    </w:p>
    <w:p w14:paraId="57D22920" w14:textId="4CF5F808" w:rsidR="001F1BF8" w:rsidRDefault="00000000" w:rsidP="00C825B6">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ARTÍCULO 5°</w:t>
      </w:r>
      <w:r w:rsidR="00454BD7">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Reglamentación.</w:t>
      </w:r>
      <w:r>
        <w:rPr>
          <w:rFonts w:ascii="Times New Roman" w:eastAsia="Times New Roman" w:hAnsi="Times New Roman" w:cs="Times New Roman"/>
          <w:sz w:val="24"/>
          <w:szCs w:val="24"/>
        </w:rPr>
        <w:t xml:space="preserve"> </w:t>
      </w:r>
      <w:r w:rsidR="005760C2" w:rsidRPr="005760C2">
        <w:rPr>
          <w:rFonts w:ascii="Times New Roman" w:eastAsia="Times New Roman" w:hAnsi="Times New Roman" w:cs="Times New Roman"/>
          <w:sz w:val="24"/>
          <w:szCs w:val="24"/>
        </w:rPr>
        <w:t>La presente ley será reglamentada dentro de los noventa (90) días contados a partir de su publicación en el Boletín Oficial.</w:t>
      </w:r>
    </w:p>
    <w:p w14:paraId="639C0A20" w14:textId="77777777" w:rsidR="005760C2" w:rsidRDefault="005760C2" w:rsidP="00C825B6">
      <w:pPr>
        <w:jc w:val="both"/>
        <w:rPr>
          <w:rFonts w:ascii="Times New Roman" w:eastAsia="Times New Roman" w:hAnsi="Times New Roman" w:cs="Times New Roman"/>
          <w:sz w:val="24"/>
          <w:szCs w:val="24"/>
        </w:rPr>
      </w:pPr>
    </w:p>
    <w:p w14:paraId="348089A4" w14:textId="08F5AEB3" w:rsidR="001F1BF8" w:rsidRDefault="00000000" w:rsidP="00C825B6">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ARTÍCULO 6°</w:t>
      </w:r>
      <w:r w:rsidR="00454BD7">
        <w:rPr>
          <w:rFonts w:ascii="Times New Roman" w:eastAsia="Times New Roman" w:hAnsi="Times New Roman" w:cs="Times New Roman"/>
          <w:b/>
          <w:bCs/>
          <w:sz w:val="24"/>
          <w:szCs w:val="24"/>
        </w:rPr>
        <w:t xml:space="preserve">.- </w:t>
      </w:r>
      <w:r w:rsidR="00454BD7" w:rsidRPr="00454BD7">
        <w:rPr>
          <w:rFonts w:ascii="Times New Roman" w:eastAsia="Times New Roman" w:hAnsi="Times New Roman" w:cs="Times New Roman"/>
          <w:sz w:val="24"/>
          <w:szCs w:val="24"/>
        </w:rPr>
        <w:t>Comuníquese, regístrese, notifíquese y oportunamente archívese.</w:t>
      </w:r>
    </w:p>
    <w:p w14:paraId="7878AE7E" w14:textId="77777777" w:rsidR="00DC2CD5" w:rsidRDefault="00DC2CD5" w:rsidP="00C825B6">
      <w:pPr>
        <w:rPr>
          <w:rFonts w:ascii="Times New Roman" w:eastAsia="Times New Roman" w:hAnsi="Times New Roman" w:cs="Times New Roman"/>
          <w:sz w:val="24"/>
          <w:szCs w:val="24"/>
        </w:rPr>
      </w:pPr>
    </w:p>
    <w:p w14:paraId="59BD9282" w14:textId="3A8FABEF" w:rsidR="001F1BF8" w:rsidRPr="00910976" w:rsidRDefault="00910976" w:rsidP="00910976">
      <w:pPr>
        <w:jc w:val="right"/>
        <w:rPr>
          <w:rFonts w:ascii="Times New Roman" w:eastAsia="Times New Roman" w:hAnsi="Times New Roman" w:cs="Times New Roman"/>
          <w:b/>
          <w:bCs/>
          <w:sz w:val="24"/>
          <w:szCs w:val="24"/>
        </w:rPr>
      </w:pPr>
      <w:r w:rsidRPr="00910976">
        <w:rPr>
          <w:rFonts w:ascii="Times New Roman" w:eastAsia="Times New Roman" w:hAnsi="Times New Roman" w:cs="Times New Roman"/>
          <w:b/>
          <w:bCs/>
          <w:sz w:val="24"/>
          <w:szCs w:val="24"/>
        </w:rPr>
        <w:t>Sen. Juan Pablo COSSO</w:t>
      </w:r>
    </w:p>
    <w:p w14:paraId="30A86731" w14:textId="31E028AE" w:rsidR="00910976" w:rsidRDefault="00910976" w:rsidP="0091097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Departamento Villaguay</w:t>
      </w:r>
    </w:p>
    <w:sectPr w:rsidR="00910976" w:rsidSect="00DC2CD5">
      <w:headerReference w:type="default" r:id="rId7"/>
      <w:pgSz w:w="11909" w:h="16834"/>
      <w:pgMar w:top="1417" w:right="1701" w:bottom="1276" w:left="170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333B55" w14:textId="77777777" w:rsidR="0044002E" w:rsidRDefault="0044002E">
      <w:pPr>
        <w:spacing w:line="240" w:lineRule="auto"/>
      </w:pPr>
      <w:r>
        <w:separator/>
      </w:r>
    </w:p>
  </w:endnote>
  <w:endnote w:type="continuationSeparator" w:id="0">
    <w:p w14:paraId="7D6C98F3" w14:textId="77777777" w:rsidR="0044002E" w:rsidRDefault="0044002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045A0FB-7906-4E4E-85EF-25CF6B49BBD0}"/>
  </w:font>
  <w:font w:name="Cambria">
    <w:panose1 w:val="02040503050406030204"/>
    <w:charset w:val="00"/>
    <w:family w:val="roman"/>
    <w:pitch w:val="variable"/>
    <w:sig w:usb0="E00006FF" w:usb1="420024FF" w:usb2="02000000" w:usb3="00000000" w:csb0="0000019F" w:csb1="00000000"/>
    <w:embedRegular r:id="rId2" w:fontKey="{6408114F-D4FC-441B-B63C-11D28C6ADD2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4EC62A" w14:textId="77777777" w:rsidR="0044002E" w:rsidRDefault="0044002E">
      <w:pPr>
        <w:spacing w:line="240" w:lineRule="auto"/>
      </w:pPr>
      <w:r>
        <w:separator/>
      </w:r>
    </w:p>
  </w:footnote>
  <w:footnote w:type="continuationSeparator" w:id="0">
    <w:p w14:paraId="152F8F57" w14:textId="77777777" w:rsidR="0044002E" w:rsidRDefault="0044002E">
      <w:pPr>
        <w:spacing w:line="240" w:lineRule="auto"/>
      </w:pPr>
      <w:r>
        <w:continuationSeparator/>
      </w:r>
    </w:p>
  </w:footnote>
  <w:footnote w:id="1">
    <w:p w14:paraId="6347E622" w14:textId="77777777" w:rsidR="00DC2CD5" w:rsidRPr="00525676" w:rsidRDefault="00DC2CD5" w:rsidP="00DC2CD5">
      <w:pPr>
        <w:pStyle w:val="Textonotapie"/>
        <w:jc w:val="both"/>
        <w:rPr>
          <w:rFonts w:ascii="Times New Roman" w:hAnsi="Times New Roman" w:cs="Times New Roman"/>
          <w:lang w:val="es-AR"/>
        </w:rPr>
      </w:pPr>
      <w:r w:rsidRPr="00525676">
        <w:rPr>
          <w:rStyle w:val="Refdenotaalpie"/>
          <w:rFonts w:ascii="Times New Roman" w:hAnsi="Times New Roman" w:cs="Times New Roman"/>
        </w:rPr>
        <w:footnoteRef/>
      </w:r>
      <w:r w:rsidRPr="00525676">
        <w:rPr>
          <w:rFonts w:ascii="Times New Roman" w:hAnsi="Times New Roman" w:cs="Times New Roman"/>
        </w:rPr>
        <w:t xml:space="preserve"> </w:t>
      </w:r>
      <w:r>
        <w:rPr>
          <w:rFonts w:ascii="Times New Roman" w:hAnsi="Times New Roman" w:cs="Times New Roman"/>
        </w:rPr>
        <w:t xml:space="preserve">Cámara Argentina de Insumos, Implantables y Equipamiento Médico (CADIEM) (2019). </w:t>
      </w:r>
      <w:r w:rsidRPr="00423E6F">
        <w:rPr>
          <w:rFonts w:ascii="Times New Roman" w:hAnsi="Times New Roman" w:cs="Times New Roman"/>
          <w:i/>
          <w:iCs/>
        </w:rPr>
        <w:t>Informe Sectorial.</w:t>
      </w:r>
      <w:r>
        <w:rPr>
          <w:rFonts w:ascii="Times New Roman" w:hAnsi="Times New Roman" w:cs="Times New Roman"/>
        </w:rPr>
        <w:t xml:space="preserve"> </w:t>
      </w:r>
      <w:r w:rsidRPr="00525676">
        <w:rPr>
          <w:rFonts w:ascii="Times New Roman" w:hAnsi="Times New Roman" w:cs="Times New Roman"/>
        </w:rPr>
        <w:t>Disponible en:</w:t>
      </w:r>
      <w:r>
        <w:rPr>
          <w:rFonts w:ascii="Times New Roman" w:hAnsi="Times New Roman" w:cs="Times New Roman"/>
        </w:rPr>
        <w:t xml:space="preserve"> </w:t>
      </w:r>
      <w:r w:rsidRPr="00423E6F">
        <w:rPr>
          <w:rFonts w:ascii="Times New Roman" w:hAnsi="Times New Roman" w:cs="Times New Roman"/>
        </w:rPr>
        <w:t>https://cadiem.org.ar/wp-content/uploads/2022/12/Informe-sectorial.pdf</w:t>
      </w:r>
      <w:r>
        <w:rPr>
          <w:rFonts w:ascii="Times New Roman" w:hAnsi="Times New Roman" w:cs="Times New Roman"/>
        </w:rPr>
        <w:t xml:space="preserve"> </w:t>
      </w:r>
      <w:r w:rsidRPr="00525676">
        <w:rPr>
          <w:rFonts w:ascii="Times New Roman" w:hAnsi="Times New Roman" w:cs="Times New Roman"/>
        </w:rPr>
        <w:t xml:space="preserve"> </w:t>
      </w:r>
    </w:p>
  </w:footnote>
  <w:footnote w:id="2">
    <w:p w14:paraId="58549FF6" w14:textId="77777777" w:rsidR="00DC2CD5" w:rsidRPr="00525676" w:rsidRDefault="00DC2CD5" w:rsidP="00DC2CD5">
      <w:pPr>
        <w:jc w:val="both"/>
        <w:rPr>
          <w:rFonts w:ascii="Times New Roman" w:eastAsia="Times New Roman" w:hAnsi="Times New Roman" w:cs="Times New Roman"/>
          <w:sz w:val="20"/>
          <w:szCs w:val="20"/>
        </w:rPr>
      </w:pPr>
      <w:r w:rsidRPr="00525676">
        <w:rPr>
          <w:rStyle w:val="Refdenotaalpie"/>
          <w:rFonts w:ascii="Times New Roman" w:hAnsi="Times New Roman" w:cs="Times New Roman"/>
          <w:sz w:val="20"/>
          <w:szCs w:val="20"/>
        </w:rPr>
        <w:footnoteRef/>
      </w:r>
      <w:r w:rsidRPr="00525676">
        <w:rPr>
          <w:rFonts w:ascii="Times New Roman" w:hAnsi="Times New Roman" w:cs="Times New Roman"/>
          <w:sz w:val="20"/>
          <w:szCs w:val="20"/>
        </w:rPr>
        <w:t xml:space="preserve"> </w:t>
      </w:r>
      <w:r w:rsidRPr="00525676">
        <w:rPr>
          <w:rFonts w:ascii="Times New Roman" w:eastAsia="Times New Roman" w:hAnsi="Times New Roman" w:cs="Times New Roman"/>
          <w:sz w:val="20"/>
          <w:szCs w:val="20"/>
        </w:rPr>
        <w:t xml:space="preserve">Incluye artículos ortopédicos, equipos implantables, aparatos para respiración artificial, equipos de diagnósticos (tomógrafos, resonancia magnética, etc.), equipo médico electrónico, diagnóstico por imágenes, componentes descartables e instrumentos de cirugía en general. </w:t>
      </w:r>
    </w:p>
  </w:footnote>
  <w:footnote w:id="3">
    <w:p w14:paraId="418972A4" w14:textId="77777777" w:rsidR="00DC2CD5" w:rsidRPr="001B18B6" w:rsidRDefault="00DC2CD5" w:rsidP="00DC2CD5">
      <w:pPr>
        <w:pStyle w:val="Textonotapie"/>
        <w:jc w:val="both"/>
        <w:rPr>
          <w:lang w:val="es-AR"/>
        </w:rPr>
      </w:pPr>
      <w:r w:rsidRPr="00525676">
        <w:rPr>
          <w:rStyle w:val="Refdenotaalpie"/>
          <w:rFonts w:ascii="Times New Roman" w:hAnsi="Times New Roman" w:cs="Times New Roman"/>
        </w:rPr>
        <w:footnoteRef/>
      </w:r>
      <w:r w:rsidRPr="00525676">
        <w:rPr>
          <w:rFonts w:ascii="Times New Roman" w:hAnsi="Times New Roman" w:cs="Times New Roman"/>
        </w:rPr>
        <w:t xml:space="preserve"> Ministerio de Desarrollo Económico de Entre Ríos (2025). </w:t>
      </w:r>
      <w:r w:rsidRPr="00525676">
        <w:rPr>
          <w:rFonts w:ascii="Times New Roman" w:hAnsi="Times New Roman" w:cs="Times New Roman"/>
          <w:i/>
          <w:iCs/>
        </w:rPr>
        <w:t>Relevamiento de las capacidades del Sistema Científico Tecnológico, de Innovación y de Economía del Conocimiento en Entre Ríos</w:t>
      </w:r>
      <w:r w:rsidRPr="00525676">
        <w:rPr>
          <w:rFonts w:ascii="Times New Roman" w:hAnsi="Times New Roman" w:cs="Times New Roman"/>
        </w:rPr>
        <w:t>. Disponible en: https://portal.entrerios.gov.ar/desarrolloeconomico/cienciaytecnologia/noticias/48148</w:t>
      </w:r>
    </w:p>
  </w:footnote>
  <w:footnote w:id="4">
    <w:p w14:paraId="50FFC1FD" w14:textId="77777777" w:rsidR="00DC2CD5" w:rsidRPr="00525676" w:rsidRDefault="00DC2CD5" w:rsidP="00DC2CD5">
      <w:pPr>
        <w:pStyle w:val="Textonotapie"/>
        <w:rPr>
          <w:rFonts w:ascii="Times New Roman" w:hAnsi="Times New Roman" w:cs="Times New Roman"/>
          <w:lang w:val="es-AR"/>
        </w:rPr>
      </w:pPr>
      <w:r w:rsidRPr="00525676">
        <w:rPr>
          <w:rStyle w:val="Refdenotaalpie"/>
          <w:rFonts w:ascii="Times New Roman" w:hAnsi="Times New Roman" w:cs="Times New Roman"/>
        </w:rPr>
        <w:footnoteRef/>
      </w:r>
      <w:r w:rsidRPr="00525676">
        <w:rPr>
          <w:rFonts w:ascii="Times New Roman" w:hAnsi="Times New Roman" w:cs="Times New Roman"/>
        </w:rPr>
        <w:t xml:space="preserve"> Ministerio de Hacienda (2019). </w:t>
      </w:r>
      <w:r w:rsidRPr="00525676">
        <w:rPr>
          <w:rFonts w:ascii="Times New Roman" w:hAnsi="Times New Roman" w:cs="Times New Roman"/>
          <w:i/>
          <w:iCs/>
        </w:rPr>
        <w:t>Informes de Cadenas de Valor. Equipamiento Médico</w:t>
      </w:r>
      <w:r w:rsidRPr="00525676">
        <w:rPr>
          <w:rFonts w:ascii="Times New Roman" w:hAnsi="Times New Roman" w:cs="Times New Roman"/>
        </w:rPr>
        <w:t>. ISSN 2525-0221. Disponible en https://www.argentina.gob.ar/sites/default/files/sspmicro_cadenas_de_valor_equipamiento_medico_0.pdf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59B19" w14:textId="68361057" w:rsidR="001F1BF8" w:rsidRDefault="00000000">
    <w:pPr>
      <w:pBdr>
        <w:top w:val="nil"/>
        <w:left w:val="nil"/>
        <w:bottom w:val="nil"/>
        <w:right w:val="nil"/>
        <w:between w:val="nil"/>
      </w:pBdr>
      <w:tabs>
        <w:tab w:val="center" w:pos="4252"/>
        <w:tab w:val="right" w:pos="8504"/>
      </w:tabs>
      <w:spacing w:line="240" w:lineRule="auto"/>
      <w:rPr>
        <w:color w:val="000000"/>
      </w:rPr>
    </w:pPr>
    <w:r>
      <w:rPr>
        <w:noProof/>
        <w:color w:val="000000"/>
      </w:rPr>
      <w:drawing>
        <wp:inline distT="0" distB="0" distL="0" distR="0" wp14:anchorId="2CC7046D" wp14:editId="6A01A6BB">
          <wp:extent cx="1764432" cy="287920"/>
          <wp:effectExtent l="0" t="0" r="0" b="0"/>
          <wp:docPr id="172471608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764432" cy="287920"/>
                  </a:xfrm>
                  <a:prstGeom prst="rect">
                    <a:avLst/>
                  </a:prstGeom>
                  <a:ln/>
                </pic:spPr>
              </pic:pic>
            </a:graphicData>
          </a:graphic>
        </wp:inline>
      </w:drawing>
    </w:r>
  </w:p>
  <w:p w14:paraId="0C6BE860" w14:textId="77777777" w:rsidR="001F1BF8" w:rsidRDefault="001F1BF8">
    <w:pPr>
      <w:pBdr>
        <w:top w:val="nil"/>
        <w:left w:val="nil"/>
        <w:bottom w:val="nil"/>
        <w:right w:val="nil"/>
        <w:between w:val="nil"/>
      </w:pBdr>
      <w:tabs>
        <w:tab w:val="center" w:pos="4252"/>
        <w:tab w:val="right" w:pos="8504"/>
      </w:tabs>
      <w:spacing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1BF8"/>
    <w:rsid w:val="00025958"/>
    <w:rsid w:val="000964DB"/>
    <w:rsid w:val="00155A36"/>
    <w:rsid w:val="001B18B6"/>
    <w:rsid w:val="001F1BF8"/>
    <w:rsid w:val="00221027"/>
    <w:rsid w:val="002E6B2F"/>
    <w:rsid w:val="00303D87"/>
    <w:rsid w:val="00337A8F"/>
    <w:rsid w:val="003C0C3A"/>
    <w:rsid w:val="00423E6F"/>
    <w:rsid w:val="0044002E"/>
    <w:rsid w:val="00454BD7"/>
    <w:rsid w:val="004A0B53"/>
    <w:rsid w:val="00525676"/>
    <w:rsid w:val="0055688A"/>
    <w:rsid w:val="005760C2"/>
    <w:rsid w:val="005F1EE8"/>
    <w:rsid w:val="005F6737"/>
    <w:rsid w:val="00601BAD"/>
    <w:rsid w:val="006A763A"/>
    <w:rsid w:val="006D683F"/>
    <w:rsid w:val="00733435"/>
    <w:rsid w:val="008615C4"/>
    <w:rsid w:val="00910976"/>
    <w:rsid w:val="00965044"/>
    <w:rsid w:val="009C18C6"/>
    <w:rsid w:val="00AB70E8"/>
    <w:rsid w:val="00AD28ED"/>
    <w:rsid w:val="00C233ED"/>
    <w:rsid w:val="00C762F0"/>
    <w:rsid w:val="00C825B6"/>
    <w:rsid w:val="00C91C01"/>
    <w:rsid w:val="00CD18F5"/>
    <w:rsid w:val="00CF1844"/>
    <w:rsid w:val="00DA6FA9"/>
    <w:rsid w:val="00DC2CB9"/>
    <w:rsid w:val="00DC2CD5"/>
    <w:rsid w:val="00DD2D9A"/>
    <w:rsid w:val="00E12D6B"/>
    <w:rsid w:val="00F02C5D"/>
    <w:rsid w:val="00F64207"/>
    <w:rsid w:val="00FF36AF"/>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11D160"/>
  <w15:docId w15:val="{6FB79605-7DB7-456E-A242-17F8FC529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A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Textonotapie">
    <w:name w:val="footnote text"/>
    <w:basedOn w:val="Normal"/>
    <w:link w:val="TextonotapieCar"/>
    <w:uiPriority w:val="99"/>
    <w:semiHidden/>
    <w:unhideWhenUsed/>
    <w:rsid w:val="006A763A"/>
    <w:pPr>
      <w:spacing w:line="240" w:lineRule="auto"/>
    </w:pPr>
    <w:rPr>
      <w:sz w:val="20"/>
      <w:szCs w:val="20"/>
    </w:rPr>
  </w:style>
  <w:style w:type="character" w:customStyle="1" w:styleId="TextonotapieCar">
    <w:name w:val="Texto nota pie Car"/>
    <w:basedOn w:val="Fuentedeprrafopredeter"/>
    <w:link w:val="Textonotapie"/>
    <w:uiPriority w:val="99"/>
    <w:semiHidden/>
    <w:rsid w:val="006A763A"/>
    <w:rPr>
      <w:sz w:val="20"/>
      <w:szCs w:val="20"/>
    </w:rPr>
  </w:style>
  <w:style w:type="character" w:styleId="Refdenotaalpie">
    <w:name w:val="footnote reference"/>
    <w:basedOn w:val="Fuentedeprrafopredeter"/>
    <w:uiPriority w:val="99"/>
    <w:semiHidden/>
    <w:unhideWhenUsed/>
    <w:rsid w:val="006A763A"/>
    <w:rPr>
      <w:vertAlign w:val="superscript"/>
    </w:rPr>
  </w:style>
  <w:style w:type="paragraph" w:styleId="Encabezado">
    <w:name w:val="header"/>
    <w:basedOn w:val="Normal"/>
    <w:link w:val="EncabezadoCar"/>
    <w:uiPriority w:val="99"/>
    <w:unhideWhenUsed/>
    <w:rsid w:val="00525676"/>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525676"/>
  </w:style>
  <w:style w:type="paragraph" w:styleId="Piedepgina">
    <w:name w:val="footer"/>
    <w:basedOn w:val="Normal"/>
    <w:link w:val="PiedepginaCar"/>
    <w:uiPriority w:val="99"/>
    <w:unhideWhenUsed/>
    <w:rsid w:val="00525676"/>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525676"/>
  </w:style>
  <w:style w:type="character" w:styleId="Hipervnculo">
    <w:name w:val="Hyperlink"/>
    <w:basedOn w:val="Fuentedeprrafopredeter"/>
    <w:uiPriority w:val="99"/>
    <w:unhideWhenUsed/>
    <w:rsid w:val="00423E6F"/>
    <w:rPr>
      <w:color w:val="0000FF" w:themeColor="hyperlink"/>
      <w:u w:val="single"/>
    </w:rPr>
  </w:style>
  <w:style w:type="character" w:styleId="Mencinsinresolver">
    <w:name w:val="Unresolved Mention"/>
    <w:basedOn w:val="Fuentedeprrafopredeter"/>
    <w:uiPriority w:val="99"/>
    <w:semiHidden/>
    <w:unhideWhenUsed/>
    <w:rsid w:val="00423E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66ABB4-F351-4C05-A43B-3337F7FAD5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TotalTime>
  <Pages>3</Pages>
  <Words>1162</Words>
  <Characters>6395</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Marcos Esteban</cp:lastModifiedBy>
  <cp:revision>28</cp:revision>
  <dcterms:created xsi:type="dcterms:W3CDTF">2025-12-15T14:30:00Z</dcterms:created>
  <dcterms:modified xsi:type="dcterms:W3CDTF">2025-12-22T17:42:00Z</dcterms:modified>
</cp:coreProperties>
</file>