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91E71" w14:textId="302475D6" w:rsidR="00BF19A2" w:rsidRDefault="00876357">
      <w:r>
        <w:rPr>
          <w:noProof/>
          <w:lang w:val="es-AR" w:eastAsia="es-AR"/>
        </w:rPr>
        <w:drawing>
          <wp:inline distT="0" distB="0" distL="0" distR="0" wp14:anchorId="01C95B21" wp14:editId="00396E58">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14:paraId="5314A31C" w14:textId="77777777" w:rsidR="00BF19A2" w:rsidRDefault="00BF19A2" w:rsidP="008A71F8">
      <w:pPr>
        <w:jc w:val="both"/>
      </w:pPr>
    </w:p>
    <w:p w14:paraId="1F3FBE0D" w14:textId="77777777" w:rsidR="00B44BF4" w:rsidRPr="00A7339C" w:rsidRDefault="00B44BF4" w:rsidP="00B44BF4">
      <w:pPr>
        <w:pStyle w:val="NormalWeb"/>
        <w:jc w:val="center"/>
        <w:rPr>
          <w:b/>
          <w:bCs/>
          <w:szCs w:val="28"/>
        </w:rPr>
      </w:pPr>
      <w:r w:rsidRPr="00A7339C">
        <w:rPr>
          <w:b/>
          <w:bCs/>
          <w:szCs w:val="28"/>
        </w:rPr>
        <w:t>LA LEGISLATURA DE LA PROVINCIA DE ENTRE RIOS SANCIONA CON FUERZA DE LEY:</w:t>
      </w:r>
    </w:p>
    <w:p w14:paraId="76610697" w14:textId="77777777" w:rsidR="00756C23" w:rsidRDefault="00756C23" w:rsidP="00B44BF4">
      <w:pPr>
        <w:pStyle w:val="NormalWeb"/>
        <w:jc w:val="center"/>
        <w:rPr>
          <w:b/>
          <w:bCs/>
          <w:sz w:val="28"/>
          <w:szCs w:val="28"/>
        </w:rPr>
      </w:pPr>
    </w:p>
    <w:p w14:paraId="23C5CD48" w14:textId="77777777" w:rsidR="00756C23" w:rsidRPr="00756C23" w:rsidRDefault="00756C23" w:rsidP="00756C23">
      <w:pPr>
        <w:jc w:val="center"/>
        <w:rPr>
          <w:rStyle w:val="Referenciasutil"/>
        </w:rPr>
      </w:pPr>
      <w:r w:rsidRPr="00756C23">
        <w:rPr>
          <w:rStyle w:val="Referenciasutil"/>
        </w:rPr>
        <w:t>Procedimiento para el abordaje en la atención de personas con desafíos en la comunicación en situaciones de emergencia</w:t>
      </w:r>
    </w:p>
    <w:p w14:paraId="1DEA7043" w14:textId="5C8C620B" w:rsidR="00B44BF4" w:rsidRPr="003F762F" w:rsidRDefault="00B44BF4" w:rsidP="00B44BF4">
      <w:pPr>
        <w:jc w:val="center"/>
        <w:rPr>
          <w:rStyle w:val="Referenciasutil"/>
        </w:rPr>
      </w:pPr>
      <w:r w:rsidRPr="003F762F">
        <w:rPr>
          <w:rStyle w:val="Referenciasutil"/>
        </w:rPr>
        <w:t>Objeto</w:t>
      </w:r>
    </w:p>
    <w:p w14:paraId="0DB37E49" w14:textId="3253E6B3" w:rsidR="00BF19A2" w:rsidRDefault="001036DB" w:rsidP="008A71F8">
      <w:pPr>
        <w:jc w:val="both"/>
      </w:pPr>
      <w:r>
        <w:t xml:space="preserve">Artículo 1º.- La presente ley tiene por objeto establecer un procedimiento integral </w:t>
      </w:r>
      <w:r w:rsidRPr="00756C23">
        <w:rPr>
          <w:color w:val="000000" w:themeColor="text1"/>
        </w:rPr>
        <w:t>de actuación</w:t>
      </w:r>
      <w:r w:rsidR="00BB65F7" w:rsidRPr="00756C23">
        <w:rPr>
          <w:color w:val="000000" w:themeColor="text1"/>
        </w:rPr>
        <w:t xml:space="preserve"> </w:t>
      </w:r>
      <w:r w:rsidRPr="00756C23">
        <w:rPr>
          <w:color w:val="000000" w:themeColor="text1"/>
        </w:rPr>
        <w:t xml:space="preserve">en situaciones de emergencia, destinado a garantizar una atención adecuada, accesible y </w:t>
      </w:r>
      <w:r>
        <w:t>humanizada a personas con desafíos en la comunicación, promoviendo su protección, seguridad y bienestar.</w:t>
      </w:r>
    </w:p>
    <w:p w14:paraId="1364C326" w14:textId="1FA64347" w:rsidR="00C228AE" w:rsidRPr="003F762F" w:rsidRDefault="009C7D53" w:rsidP="009C7D53">
      <w:pPr>
        <w:jc w:val="center"/>
        <w:rPr>
          <w:rStyle w:val="Referenciasutil"/>
        </w:rPr>
      </w:pPr>
      <w:r w:rsidRPr="003F762F">
        <w:rPr>
          <w:rStyle w:val="Referenciasutil"/>
        </w:rPr>
        <w:t>Alcance</w:t>
      </w:r>
    </w:p>
    <w:p w14:paraId="3E259F58" w14:textId="5EED5910" w:rsidR="00BF19A2" w:rsidRPr="00756C23" w:rsidRDefault="001036DB" w:rsidP="008A71F8">
      <w:pPr>
        <w:jc w:val="both"/>
      </w:pPr>
      <w:r w:rsidRPr="00756C23">
        <w:t>Artículo 2º.- Quedan comprendidas en la presente ley las personas que presenten, entre otras condiciones:</w:t>
      </w:r>
    </w:p>
    <w:p w14:paraId="445EB548" w14:textId="77777777" w:rsidR="00BF19A2" w:rsidRPr="00756C23" w:rsidRDefault="001036DB" w:rsidP="008A71F8">
      <w:pPr>
        <w:jc w:val="both"/>
      </w:pPr>
      <w:r w:rsidRPr="00756C23">
        <w:t>a) Condición del Espectro Autista (CEA);</w:t>
      </w:r>
    </w:p>
    <w:p w14:paraId="005D5B7C" w14:textId="77777777" w:rsidR="00BF19A2" w:rsidRPr="00756C23" w:rsidRDefault="001036DB" w:rsidP="008A71F8">
      <w:pPr>
        <w:jc w:val="both"/>
      </w:pPr>
      <w:r w:rsidRPr="00756C23">
        <w:t>b) Discapacidad auditiva o sordera;</w:t>
      </w:r>
    </w:p>
    <w:p w14:paraId="188B4CBC" w14:textId="77777777" w:rsidR="00BF19A2" w:rsidRPr="00756C23" w:rsidRDefault="001036DB" w:rsidP="008A71F8">
      <w:pPr>
        <w:jc w:val="both"/>
      </w:pPr>
      <w:r w:rsidRPr="00756C23">
        <w:t>c) Trastornos del habla y del lenguaje;</w:t>
      </w:r>
    </w:p>
    <w:p w14:paraId="330B93FA" w14:textId="5DD11B06" w:rsidR="00BF19A2" w:rsidRPr="00756C23" w:rsidRDefault="001036DB" w:rsidP="008A71F8">
      <w:pPr>
        <w:jc w:val="both"/>
      </w:pPr>
      <w:r w:rsidRPr="00756C23">
        <w:t>d) Discapacidad cognitiva o del desarrollo;</w:t>
      </w:r>
    </w:p>
    <w:p w14:paraId="3A069B28" w14:textId="263E9A8A" w:rsidR="00286FA2" w:rsidRPr="00756C23" w:rsidRDefault="00286FA2" w:rsidP="008A71F8">
      <w:pPr>
        <w:jc w:val="both"/>
      </w:pPr>
      <w:r w:rsidRPr="00756C23">
        <w:t>e) Accidente cerebro vascular (ACV)</w:t>
      </w:r>
    </w:p>
    <w:p w14:paraId="4ABB6B10" w14:textId="124F2FC9" w:rsidR="00286FA2" w:rsidRPr="00756C23" w:rsidRDefault="00286FA2" w:rsidP="008A71F8">
      <w:pPr>
        <w:jc w:val="both"/>
      </w:pPr>
      <w:r w:rsidRPr="00756C23">
        <w:t>f) Esclerosis lateral amiotrófica (ELA)</w:t>
      </w:r>
    </w:p>
    <w:p w14:paraId="5E38B132" w14:textId="39422735" w:rsidR="00BF19A2" w:rsidRPr="00756C23" w:rsidRDefault="00C52BED" w:rsidP="008A71F8">
      <w:pPr>
        <w:jc w:val="both"/>
      </w:pPr>
      <w:r w:rsidRPr="00756C23">
        <w:t>g</w:t>
      </w:r>
      <w:r w:rsidR="001036DB" w:rsidRPr="00756C23">
        <w:t>) Cualquier otra condición que implique dificultades en la comunicación verbal o no verbal.</w:t>
      </w:r>
    </w:p>
    <w:p w14:paraId="57C61C4B" w14:textId="77777777" w:rsidR="003F762F" w:rsidRDefault="003F762F" w:rsidP="008A71F8">
      <w:pPr>
        <w:jc w:val="both"/>
      </w:pPr>
    </w:p>
    <w:p w14:paraId="52A3ED59" w14:textId="5B01F7A0" w:rsidR="00C228AE" w:rsidRPr="009C7D53" w:rsidRDefault="009C7D53" w:rsidP="009C7D53">
      <w:pPr>
        <w:jc w:val="center"/>
        <w:rPr>
          <w:rStyle w:val="Referenciasutil"/>
        </w:rPr>
      </w:pPr>
      <w:r w:rsidRPr="009C7D53">
        <w:rPr>
          <w:rStyle w:val="Referenciasutil"/>
        </w:rPr>
        <w:t>Registro Único Voluntario</w:t>
      </w:r>
    </w:p>
    <w:p w14:paraId="5CD31076" w14:textId="5795D89C" w:rsidR="00BF19A2" w:rsidRDefault="001036DB" w:rsidP="008A71F8">
      <w:pPr>
        <w:jc w:val="both"/>
      </w:pPr>
      <w:r>
        <w:t>Artículo 3º.- Créase el Registro Único</w:t>
      </w:r>
      <w:r w:rsidR="00853B90" w:rsidRPr="00853B90">
        <w:rPr>
          <w:color w:val="FF0000"/>
        </w:rPr>
        <w:t xml:space="preserve"> </w:t>
      </w:r>
      <w:r>
        <w:t>Voluntario de Personas con Desafíos en la Comunicación, de carácter confidencial y no obligatorio, con el objeto de facilitar la intervención de los servicios de emergencia.</w:t>
      </w:r>
    </w:p>
    <w:p w14:paraId="282B6EE3" w14:textId="4C3A3983" w:rsidR="00BF19A2" w:rsidRDefault="001036DB" w:rsidP="008A71F8">
      <w:pPr>
        <w:jc w:val="both"/>
      </w:pPr>
      <w:r>
        <w:lastRenderedPageBreak/>
        <w:t xml:space="preserve">El registro se conformará con consentimiento expreso de la persona y/o el </w:t>
      </w:r>
      <w:r w:rsidR="00C228AE">
        <w:t>consentimiento</w:t>
      </w:r>
      <w:r>
        <w:t xml:space="preserve"> del padre, madre, tutor o representante legal y podrá incluir:</w:t>
      </w:r>
    </w:p>
    <w:p w14:paraId="2549C326" w14:textId="77777777" w:rsidR="00BF19A2" w:rsidRDefault="001036DB" w:rsidP="008A71F8">
      <w:pPr>
        <w:jc w:val="both"/>
      </w:pPr>
      <w:r>
        <w:t>a) Datos identificatorios básicos;</w:t>
      </w:r>
    </w:p>
    <w:p w14:paraId="19D043A0" w14:textId="77777777" w:rsidR="00BF19A2" w:rsidRDefault="001036DB" w:rsidP="008A71F8">
      <w:pPr>
        <w:jc w:val="both"/>
      </w:pPr>
      <w:r>
        <w:t>b) Condición o diagnóstico informado;</w:t>
      </w:r>
    </w:p>
    <w:p w14:paraId="65BF1B27" w14:textId="77777777" w:rsidR="00BF19A2" w:rsidRDefault="001036DB" w:rsidP="008A71F8">
      <w:pPr>
        <w:jc w:val="both"/>
      </w:pPr>
      <w:r>
        <w:t>c) Datos de referentes familiares o responsables;</w:t>
      </w:r>
    </w:p>
    <w:p w14:paraId="6F8192B0" w14:textId="2439EB4F" w:rsidR="00BF19A2" w:rsidRDefault="001036DB" w:rsidP="008A71F8">
      <w:pPr>
        <w:jc w:val="both"/>
      </w:pPr>
      <w:r>
        <w:t>d) Recomendaciones específicas para la comunicación y la intervención en situaciones de emergencia.</w:t>
      </w:r>
    </w:p>
    <w:p w14:paraId="4520F9E2" w14:textId="33D2629C" w:rsidR="00C228AE" w:rsidRPr="009C7D53" w:rsidRDefault="009C7D53" w:rsidP="009C7D53">
      <w:pPr>
        <w:jc w:val="center"/>
        <w:rPr>
          <w:rStyle w:val="Referenciasutil"/>
        </w:rPr>
      </w:pPr>
      <w:r w:rsidRPr="009C7D53">
        <w:rPr>
          <w:rStyle w:val="Referenciasutil"/>
        </w:rPr>
        <w:t>Autoridad de Aplicación</w:t>
      </w:r>
    </w:p>
    <w:p w14:paraId="7228EFCA" w14:textId="5FC8C17A" w:rsidR="00BF19A2" w:rsidRDefault="001036DB" w:rsidP="008A71F8">
      <w:pPr>
        <w:jc w:val="both"/>
      </w:pPr>
      <w:r>
        <w:t>Artículo 4º.- Será Autoridad de Aplicación la Dirección de Defensa Civil de la presente ley el organismo que el Poder Ejecutivo Provincial determine, quien tendrá a su cargo:</w:t>
      </w:r>
    </w:p>
    <w:p w14:paraId="2784003C" w14:textId="77777777" w:rsidR="00BF19A2" w:rsidRDefault="001036DB" w:rsidP="008A71F8">
      <w:pPr>
        <w:jc w:val="both"/>
      </w:pPr>
      <w:r>
        <w:t>a) La administración y resguardo del registro;</w:t>
      </w:r>
    </w:p>
    <w:p w14:paraId="0E09CE59" w14:textId="77777777" w:rsidR="00BF19A2" w:rsidRDefault="001036DB" w:rsidP="008A71F8">
      <w:pPr>
        <w:jc w:val="both"/>
      </w:pPr>
      <w:bookmarkStart w:id="0" w:name="_GoBack"/>
      <w:r>
        <w:t>b) La elaboración de protocolos de actuación;</w:t>
      </w:r>
    </w:p>
    <w:bookmarkEnd w:id="0"/>
    <w:p w14:paraId="293DE9ED" w14:textId="77777777" w:rsidR="00BF19A2" w:rsidRDefault="001036DB" w:rsidP="008A71F8">
      <w:pPr>
        <w:jc w:val="both"/>
      </w:pPr>
      <w:r>
        <w:t>c) La coordinación con los servicios de emergencia;</w:t>
      </w:r>
    </w:p>
    <w:p w14:paraId="4743E869" w14:textId="77777777" w:rsidR="00BF19A2" w:rsidRDefault="001036DB" w:rsidP="008A71F8">
      <w:pPr>
        <w:jc w:val="both"/>
      </w:pPr>
      <w:r>
        <w:t>d) La difusión de la presente ley.</w:t>
      </w:r>
    </w:p>
    <w:p w14:paraId="322FB48E" w14:textId="77777777" w:rsidR="00756C23" w:rsidRDefault="00756C23" w:rsidP="008A71F8">
      <w:pPr>
        <w:jc w:val="both"/>
      </w:pPr>
    </w:p>
    <w:p w14:paraId="75ECAA38" w14:textId="72B9FF42" w:rsidR="00C228AE" w:rsidRPr="002D555E" w:rsidRDefault="002D555E" w:rsidP="009C7D53">
      <w:pPr>
        <w:jc w:val="center"/>
        <w:rPr>
          <w:rStyle w:val="Referenciasutil"/>
        </w:rPr>
      </w:pPr>
      <w:r w:rsidRPr="002D555E">
        <w:rPr>
          <w:rStyle w:val="Referenciasutil"/>
          <w:color w:val="auto"/>
          <w:sz w:val="20"/>
        </w:rPr>
        <w:t>EQUIPO</w:t>
      </w:r>
      <w:r w:rsidR="009C7D53" w:rsidRPr="002D555E">
        <w:rPr>
          <w:rStyle w:val="Referenciasutil"/>
          <w:color w:val="auto"/>
        </w:rPr>
        <w:t xml:space="preserve"> de primeros </w:t>
      </w:r>
      <w:r w:rsidR="009C7D53" w:rsidRPr="002D555E">
        <w:rPr>
          <w:rStyle w:val="Referenciasutil"/>
        </w:rPr>
        <w:t>auxilios psicológicos</w:t>
      </w:r>
    </w:p>
    <w:p w14:paraId="64179E04" w14:textId="39914282" w:rsidR="00BF19A2" w:rsidRDefault="001036DB" w:rsidP="008A71F8">
      <w:pPr>
        <w:jc w:val="both"/>
      </w:pPr>
      <w:r>
        <w:t xml:space="preserve">Artículo 5º.- Dispónese que los móviles y dependencias de los servicios de emergencia provinciales cuenten con </w:t>
      </w:r>
      <w:r w:rsidR="002D555E">
        <w:t>equipo</w:t>
      </w:r>
      <w:r>
        <w:t xml:space="preserve"> de primeros auxilios psicológicos, destinados a la atención de personas con desafíos en la comunicación.</w:t>
      </w:r>
    </w:p>
    <w:p w14:paraId="7915E281" w14:textId="77777777" w:rsidR="00BF19A2" w:rsidRDefault="001036DB" w:rsidP="008A71F8">
      <w:pPr>
        <w:jc w:val="both"/>
      </w:pPr>
      <w:r>
        <w:t>Los kits deberán contener elementos de regulación sensorial y comunicación accesible, tales como:</w:t>
      </w:r>
    </w:p>
    <w:p w14:paraId="579F7402" w14:textId="77777777" w:rsidR="00BF19A2" w:rsidRDefault="001036DB" w:rsidP="008A71F8">
      <w:pPr>
        <w:jc w:val="both"/>
      </w:pPr>
      <w:r>
        <w:t>a) Protectores auditivos;</w:t>
      </w:r>
    </w:p>
    <w:p w14:paraId="1B326864" w14:textId="77777777" w:rsidR="00BF19A2" w:rsidRDefault="001036DB" w:rsidP="008A71F8">
      <w:pPr>
        <w:jc w:val="both"/>
      </w:pPr>
      <w:r>
        <w:t>b) Gafas de reducción sensorial;</w:t>
      </w:r>
    </w:p>
    <w:p w14:paraId="77DB7ADF" w14:textId="77777777" w:rsidR="00BF19A2" w:rsidRDefault="001036DB" w:rsidP="008A71F8">
      <w:pPr>
        <w:jc w:val="both"/>
      </w:pPr>
      <w:r>
        <w:t>c) Mantas o elementos de contención;</w:t>
      </w:r>
    </w:p>
    <w:p w14:paraId="3A05C635" w14:textId="53429461" w:rsidR="00BF19A2" w:rsidRDefault="001036DB" w:rsidP="008A71F8">
      <w:pPr>
        <w:jc w:val="both"/>
      </w:pPr>
      <w:r>
        <w:t>d) Material visual con pictogramas;</w:t>
      </w:r>
    </w:p>
    <w:p w14:paraId="3C432F2C" w14:textId="4C27BBFA" w:rsidR="00C52BED" w:rsidRPr="00876357" w:rsidRDefault="00C52BED" w:rsidP="008A71F8">
      <w:pPr>
        <w:jc w:val="both"/>
        <w:rPr>
          <w:color w:val="000000" w:themeColor="text1"/>
        </w:rPr>
      </w:pPr>
      <w:r w:rsidRPr="00876357">
        <w:rPr>
          <w:color w:val="000000" w:themeColor="text1"/>
        </w:rPr>
        <w:t>e) Cuaderno y elemento escritura (lápiz y birome)</w:t>
      </w:r>
      <w:r w:rsidR="00C7717C" w:rsidRPr="00876357">
        <w:rPr>
          <w:color w:val="000000" w:themeColor="text1"/>
        </w:rPr>
        <w:t xml:space="preserve"> </w:t>
      </w:r>
      <w:r w:rsidR="00C7717C" w:rsidRPr="00876357">
        <w:rPr>
          <w:rFonts w:ascii="Arial" w:eastAsia="MS Mincho" w:hAnsi="Arial" w:cs="Arial"/>
          <w:bCs/>
          <w:color w:val="000000" w:themeColor="text1"/>
          <w:sz w:val="24"/>
          <w:szCs w:val="24"/>
          <w:lang w:val="es-ES_tradnl" w:eastAsia="es-ES_tradnl"/>
        </w:rPr>
        <w:t>y/o pizarra para dibujar</w:t>
      </w:r>
      <w:r w:rsidR="00853B90" w:rsidRPr="00876357">
        <w:rPr>
          <w:color w:val="000000" w:themeColor="text1"/>
        </w:rPr>
        <w:t>;</w:t>
      </w:r>
    </w:p>
    <w:p w14:paraId="17A30DB9" w14:textId="072592F4" w:rsidR="00853B90" w:rsidRPr="00853B90" w:rsidRDefault="00853B90" w:rsidP="008A71F8">
      <w:pPr>
        <w:jc w:val="both"/>
        <w:rPr>
          <w:color w:val="FF0000"/>
        </w:rPr>
      </w:pPr>
      <w:r w:rsidRPr="008F15B8">
        <w:rPr>
          <w:rFonts w:ascii="Arial" w:eastAsia="MS Mincho" w:hAnsi="Arial" w:cs="Arial"/>
          <w:bCs/>
          <w:sz w:val="24"/>
          <w:szCs w:val="24"/>
          <w:lang w:val="es-ES_tradnl" w:eastAsia="es-ES_tradnl"/>
        </w:rPr>
        <w:t xml:space="preserve">f) </w:t>
      </w:r>
      <w:r w:rsidR="008F15B8" w:rsidRPr="008F15B8">
        <w:rPr>
          <w:rFonts w:ascii="Arial" w:eastAsia="MS Mincho" w:hAnsi="Arial" w:cs="Arial"/>
          <w:bCs/>
          <w:sz w:val="24"/>
          <w:szCs w:val="24"/>
          <w:lang w:val="es-ES_tradnl" w:eastAsia="es-ES_tradnl"/>
        </w:rPr>
        <w:t>J</w:t>
      </w:r>
      <w:r w:rsidRPr="008F15B8">
        <w:rPr>
          <w:rFonts w:ascii="Arial" w:eastAsia="MS Mincho" w:hAnsi="Arial" w:cs="Arial"/>
          <w:bCs/>
          <w:sz w:val="24"/>
          <w:szCs w:val="24"/>
          <w:lang w:val="es-ES_tradnl" w:eastAsia="es-ES_tradnl"/>
        </w:rPr>
        <w:t>uguetes antiestrés</w:t>
      </w:r>
    </w:p>
    <w:p w14:paraId="0A91A936" w14:textId="3F07C839" w:rsidR="00BF19A2" w:rsidRDefault="00853B90" w:rsidP="008A71F8">
      <w:pPr>
        <w:jc w:val="both"/>
      </w:pPr>
      <w:r>
        <w:t>g</w:t>
      </w:r>
      <w:r w:rsidR="001036DB">
        <w:t>) Otros elementos que determine la Autoridad de Aplicación.</w:t>
      </w:r>
    </w:p>
    <w:p w14:paraId="3BF204B7" w14:textId="77777777" w:rsidR="00756C23" w:rsidRDefault="00756C23" w:rsidP="008A71F8">
      <w:pPr>
        <w:jc w:val="both"/>
      </w:pPr>
    </w:p>
    <w:p w14:paraId="4EB654F6" w14:textId="2A5C2BDE" w:rsidR="00C228AE" w:rsidRPr="003F762F" w:rsidRDefault="003F762F" w:rsidP="003F762F">
      <w:pPr>
        <w:jc w:val="center"/>
        <w:rPr>
          <w:rStyle w:val="Referenciasutil"/>
        </w:rPr>
      </w:pPr>
      <w:r w:rsidRPr="003F762F">
        <w:rPr>
          <w:rStyle w:val="Referenciasutil"/>
        </w:rPr>
        <w:t>Capacitación obligatoria</w:t>
      </w:r>
    </w:p>
    <w:p w14:paraId="767DE7E5" w14:textId="7157CB08" w:rsidR="00BF19A2" w:rsidRDefault="001036DB" w:rsidP="008A71F8">
      <w:pPr>
        <w:jc w:val="both"/>
      </w:pPr>
      <w:r>
        <w:lastRenderedPageBreak/>
        <w:t xml:space="preserve">Artículo 6º.- Establécese la capacitación obligatoria, periódica y </w:t>
      </w:r>
      <w:r w:rsidR="00876357">
        <w:t>continua</w:t>
      </w:r>
      <w:r>
        <w:t xml:space="preserve"> del personal de los servicios de emergencia y de los agentes públicos involucrados, en materia de:</w:t>
      </w:r>
    </w:p>
    <w:p w14:paraId="57362E15" w14:textId="77777777" w:rsidR="00BF19A2" w:rsidRDefault="001036DB" w:rsidP="008A71F8">
      <w:pPr>
        <w:jc w:val="both"/>
      </w:pPr>
      <w:r>
        <w:t>a) Comunicación accesible;</w:t>
      </w:r>
    </w:p>
    <w:p w14:paraId="5492B910" w14:textId="77777777" w:rsidR="00BF19A2" w:rsidRDefault="001036DB" w:rsidP="008A71F8">
      <w:pPr>
        <w:jc w:val="both"/>
      </w:pPr>
      <w:r>
        <w:t>b) Abordaje respetuoso y no violento;</w:t>
      </w:r>
    </w:p>
    <w:p w14:paraId="1BD2880F" w14:textId="77777777" w:rsidR="00BF19A2" w:rsidRDefault="001036DB" w:rsidP="008A71F8">
      <w:pPr>
        <w:jc w:val="both"/>
      </w:pPr>
      <w:r>
        <w:t>c) Primeros auxilios psicológicos;</w:t>
      </w:r>
    </w:p>
    <w:p w14:paraId="76BA7AD7" w14:textId="1B9F4CC4" w:rsidR="00BF19A2" w:rsidRDefault="001036DB" w:rsidP="008A71F8">
      <w:pPr>
        <w:jc w:val="both"/>
      </w:pPr>
      <w:r>
        <w:t>d) Atención a personas con desafíos en la comunicación.</w:t>
      </w:r>
    </w:p>
    <w:p w14:paraId="4EABB406" w14:textId="77777777" w:rsidR="00756C23" w:rsidRDefault="00756C23" w:rsidP="008A71F8">
      <w:pPr>
        <w:jc w:val="both"/>
      </w:pPr>
    </w:p>
    <w:p w14:paraId="2E8BF5E8" w14:textId="56488290" w:rsidR="00681E28" w:rsidRPr="003F762F" w:rsidRDefault="003F762F" w:rsidP="003F762F">
      <w:pPr>
        <w:jc w:val="center"/>
        <w:rPr>
          <w:rStyle w:val="Referenciasutil"/>
        </w:rPr>
      </w:pPr>
      <w:r w:rsidRPr="003F762F">
        <w:rPr>
          <w:rStyle w:val="Referenciasutil"/>
        </w:rPr>
        <w:t>Derecho a la Identificación voluntaria</w:t>
      </w:r>
    </w:p>
    <w:p w14:paraId="1C461F62" w14:textId="0AF5DC5A" w:rsidR="00BF19A2" w:rsidRDefault="001036DB" w:rsidP="008A71F8">
      <w:pPr>
        <w:jc w:val="both"/>
      </w:pPr>
      <w:r>
        <w:t xml:space="preserve">Artículo 7º.- La Autoridad de </w:t>
      </w:r>
      <w:r w:rsidRPr="00876357">
        <w:rPr>
          <w:color w:val="000000" w:themeColor="text1"/>
        </w:rPr>
        <w:t xml:space="preserve">Aplicación </w:t>
      </w:r>
      <w:r w:rsidR="00C7717C" w:rsidRPr="00876357">
        <w:rPr>
          <w:color w:val="000000" w:themeColor="text1"/>
        </w:rPr>
        <w:t>implementará</w:t>
      </w:r>
      <w:r w:rsidRPr="00876357">
        <w:rPr>
          <w:color w:val="000000" w:themeColor="text1"/>
        </w:rPr>
        <w:t xml:space="preserve"> sistemas </w:t>
      </w:r>
      <w:r>
        <w:t>de identificación voluntaria, tales como:</w:t>
      </w:r>
    </w:p>
    <w:p w14:paraId="492EA0AF" w14:textId="3540FEF9" w:rsidR="00BF19A2" w:rsidRDefault="001036DB" w:rsidP="008A71F8">
      <w:pPr>
        <w:jc w:val="both"/>
      </w:pPr>
      <w:r>
        <w:t xml:space="preserve">a) Calcomanías </w:t>
      </w:r>
      <w:r w:rsidR="002D555E">
        <w:t>identificadoras</w:t>
      </w:r>
      <w:r>
        <w:t xml:space="preserve"> para domicilios o vehículos;</w:t>
      </w:r>
    </w:p>
    <w:p w14:paraId="1CD72840" w14:textId="77777777" w:rsidR="00BF19A2" w:rsidRDefault="001036DB" w:rsidP="008A71F8">
      <w:pPr>
        <w:jc w:val="both"/>
      </w:pPr>
      <w:r>
        <w:t>b) Fichas informativas básicas;</w:t>
      </w:r>
    </w:p>
    <w:p w14:paraId="052FEE74" w14:textId="77777777" w:rsidR="00BF19A2" w:rsidRDefault="001036DB" w:rsidP="008A71F8">
      <w:pPr>
        <w:jc w:val="both"/>
      </w:pPr>
      <w:r>
        <w:t>c) Llaveros, tarjetas o códigos QR u otros medios tecnológicos.</w:t>
      </w:r>
    </w:p>
    <w:p w14:paraId="13C3567F" w14:textId="77777777" w:rsidR="003F762F" w:rsidRDefault="003F762F" w:rsidP="008A71F8">
      <w:pPr>
        <w:jc w:val="both"/>
      </w:pPr>
    </w:p>
    <w:p w14:paraId="2C4E959E" w14:textId="01CD660A" w:rsidR="00C228AE" w:rsidRPr="003F762F" w:rsidRDefault="003F762F" w:rsidP="003F762F">
      <w:pPr>
        <w:jc w:val="center"/>
        <w:rPr>
          <w:rStyle w:val="Referenciasutil"/>
        </w:rPr>
      </w:pPr>
      <w:r w:rsidRPr="003F762F">
        <w:rPr>
          <w:rStyle w:val="Referenciasutil"/>
        </w:rPr>
        <w:t>Articulación interinstitucional</w:t>
      </w:r>
    </w:p>
    <w:p w14:paraId="737F5E75" w14:textId="2C263853" w:rsidR="00BF19A2" w:rsidRDefault="001036DB" w:rsidP="008A71F8">
      <w:pPr>
        <w:jc w:val="both"/>
      </w:pPr>
      <w:r>
        <w:t>Artículo 8º.- Invítase a los municipios, comunas, organismos de salud, fuerzas de seguridad, instituciones educativas y organizaciones de la sociedad civil a adherir a los protocolos y procedimientos establecidos por la presente ley.</w:t>
      </w:r>
    </w:p>
    <w:p w14:paraId="5014DFFA" w14:textId="77777777" w:rsidR="00876357" w:rsidRDefault="00876357" w:rsidP="008A71F8">
      <w:pPr>
        <w:jc w:val="both"/>
      </w:pPr>
    </w:p>
    <w:p w14:paraId="2A777DAC" w14:textId="77777777" w:rsidR="003F762F" w:rsidRPr="003F762F" w:rsidRDefault="003F762F" w:rsidP="003F762F">
      <w:pPr>
        <w:jc w:val="center"/>
        <w:rPr>
          <w:rStyle w:val="Referenciasutil"/>
        </w:rPr>
      </w:pPr>
      <w:r w:rsidRPr="003F762F">
        <w:rPr>
          <w:rStyle w:val="Referenciasutil"/>
        </w:rPr>
        <w:t>Difusión</w:t>
      </w:r>
    </w:p>
    <w:p w14:paraId="52DF753A" w14:textId="2C81DE0E" w:rsidR="00BF19A2" w:rsidRDefault="001036DB" w:rsidP="008A71F8">
      <w:pPr>
        <w:jc w:val="both"/>
      </w:pPr>
      <w:r>
        <w:t>Artículo 9º.- El Poder Ejecutivo Provincial deberá garantizar la amplia difusión de la presente ley y de los derechos y herramientas que de ella se derivan.</w:t>
      </w:r>
    </w:p>
    <w:p w14:paraId="4BE14D37" w14:textId="77777777" w:rsidR="00876357" w:rsidRDefault="00876357" w:rsidP="008A71F8">
      <w:pPr>
        <w:jc w:val="both"/>
      </w:pPr>
    </w:p>
    <w:p w14:paraId="7D6A91A9" w14:textId="77777777" w:rsidR="003F762F" w:rsidRPr="003F762F" w:rsidRDefault="003F762F" w:rsidP="003F762F">
      <w:pPr>
        <w:jc w:val="center"/>
        <w:rPr>
          <w:rStyle w:val="Referenciasutil"/>
        </w:rPr>
      </w:pPr>
      <w:r w:rsidRPr="003F762F">
        <w:rPr>
          <w:rStyle w:val="Referenciasutil"/>
        </w:rPr>
        <w:t>Financiamiento</w:t>
      </w:r>
    </w:p>
    <w:p w14:paraId="7BE52935" w14:textId="59116252" w:rsidR="00BF19A2" w:rsidRDefault="001036DB" w:rsidP="008A71F8">
      <w:pPr>
        <w:jc w:val="both"/>
      </w:pPr>
      <w:r>
        <w:t>Artículo 10º.- Los gastos que demande la implementación de la presente ley serán atendidos con las partidas presupuestarias previstas para que a tal efecto se asignen.</w:t>
      </w:r>
    </w:p>
    <w:p w14:paraId="5CA53C7F" w14:textId="77777777" w:rsidR="00C228AE" w:rsidRDefault="00C228AE" w:rsidP="008A71F8">
      <w:pPr>
        <w:jc w:val="both"/>
      </w:pPr>
    </w:p>
    <w:p w14:paraId="216AD483" w14:textId="44E9E93A" w:rsidR="00BF19A2" w:rsidRDefault="001036DB" w:rsidP="008A71F8">
      <w:pPr>
        <w:jc w:val="both"/>
      </w:pPr>
      <w:r>
        <w:t>Artículo 11º.- Comuníquese al Poder Ejecutivo.</w:t>
      </w:r>
    </w:p>
    <w:p w14:paraId="1A675B9E" w14:textId="77777777" w:rsidR="00BF19A2" w:rsidRDefault="00BF19A2" w:rsidP="008A71F8">
      <w:pPr>
        <w:jc w:val="both"/>
      </w:pPr>
    </w:p>
    <w:p w14:paraId="0A326E74" w14:textId="77777777" w:rsidR="00BF19A2" w:rsidRDefault="00BF19A2" w:rsidP="008A71F8">
      <w:pPr>
        <w:jc w:val="both"/>
      </w:pPr>
    </w:p>
    <w:p w14:paraId="4BC41881" w14:textId="77777777" w:rsidR="00BF19A2" w:rsidRDefault="00BF19A2" w:rsidP="008A71F8">
      <w:pPr>
        <w:jc w:val="both"/>
      </w:pPr>
    </w:p>
    <w:p w14:paraId="52DC12AE" w14:textId="1F97F477" w:rsidR="00BF19A2" w:rsidRDefault="00876357" w:rsidP="008A71F8">
      <w:pPr>
        <w:jc w:val="both"/>
      </w:pPr>
      <w:r>
        <w:rPr>
          <w:noProof/>
          <w:lang w:val="es-AR" w:eastAsia="es-AR"/>
        </w:rPr>
        <w:lastRenderedPageBreak/>
        <w:drawing>
          <wp:inline distT="0" distB="0" distL="0" distR="0" wp14:anchorId="238A4117" wp14:editId="4F2ECA3F">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14:paraId="372FAB7B" w14:textId="77777777" w:rsidR="00BF19A2" w:rsidRDefault="00BF19A2" w:rsidP="008A71F8">
      <w:pPr>
        <w:jc w:val="both"/>
      </w:pPr>
    </w:p>
    <w:p w14:paraId="3AD2523E" w14:textId="1D5C1731" w:rsidR="00BF19A2" w:rsidRDefault="001036DB" w:rsidP="00876357">
      <w:pPr>
        <w:jc w:val="center"/>
      </w:pPr>
      <w:r>
        <w:t>FUNDAMENTO</w:t>
      </w:r>
    </w:p>
    <w:p w14:paraId="31A9F615" w14:textId="77777777" w:rsidR="00BF19A2" w:rsidRDefault="001036DB" w:rsidP="00DB5BCD">
      <w:pPr>
        <w:ind w:firstLine="708"/>
        <w:jc w:val="both"/>
      </w:pPr>
      <w:r>
        <w:t>El presente proyecto de ley tiene como finalidad establecer un marco normativo integral que garantice una respuesta adecuada, accesible y humanizada en situaciones de emergencia para personas con desafíos en la comunicación.</w:t>
      </w:r>
    </w:p>
    <w:p w14:paraId="60524A23" w14:textId="77777777" w:rsidR="00BF19A2" w:rsidRDefault="001036DB" w:rsidP="00DB5BCD">
      <w:pPr>
        <w:ind w:firstLine="708"/>
        <w:jc w:val="both"/>
      </w:pPr>
      <w:r>
        <w:t>Las situaciones de emergencia constituyen contextos de alta exigencia emocional, sensorial y cognitiva, en los cuales las personas que presentan dificultades en la comunicación —ya sea verbal o no verbal— se encuentran en una condición de especial vulnerabilidad. La ausencia de protocolos específicos y de capacitación adecuada del personal interviniente puede derivar en intervenciones ineficaces, desproporcionadas o incluso lesivas, afectando derechos fundamentales como la integridad física, psíquica y la dignidad humana.</w:t>
      </w:r>
    </w:p>
    <w:p w14:paraId="4FF2F7A2" w14:textId="77777777" w:rsidR="00BF19A2" w:rsidRDefault="001036DB" w:rsidP="00DB5BCD">
      <w:pPr>
        <w:ind w:firstLine="708"/>
        <w:jc w:val="both"/>
      </w:pPr>
      <w:r>
        <w:t>Diversas condiciones, tales como la Condición del Espectro Autista, la discapacidad auditiva, los trastornos del lenguaje o las discapacidades cognitivas, requieren estrategias diferenciadas de abordaje, especialmente en contextos críticos donde la sobrecarga sensorial, el estrés y la urgencia dificultan la comunicación convencional.</w:t>
      </w:r>
    </w:p>
    <w:p w14:paraId="3712D04D" w14:textId="77777777" w:rsidR="00BF19A2" w:rsidRDefault="001036DB" w:rsidP="00DB5BCD">
      <w:pPr>
        <w:ind w:firstLine="708"/>
        <w:jc w:val="both"/>
      </w:pPr>
      <w:r>
        <w:t>Como primer antecedente normativo relevante, cabe destacar la Ordenanza Nº 7519 de la Ciudad de Villa María, Provincia de Córdoba, mediante la cual se establecieron medidas orientadas a mejorar la atención y el abordaje de personas con Condición del Espectro Autista y otras dificultades en la comunicación, particularmente en contextos de emergencia y de interacción con servicios públicos. Esta experiencia constituye un precedente significativo a nivel municipal, demostrando la viabilidad y el impacto positivo de la incorporación de criterios de accesibilidad y comunicación adecuada en la intervención estatal.</w:t>
      </w:r>
    </w:p>
    <w:p w14:paraId="67CDFAA1" w14:textId="77777777" w:rsidR="00BF19A2" w:rsidRDefault="001036DB" w:rsidP="00DB5BCD">
      <w:pPr>
        <w:ind w:firstLine="708"/>
        <w:jc w:val="both"/>
      </w:pPr>
      <w:r>
        <w:t>Asimismo, este proyecto reconoce otro antecedente relevante, es la experiencia desarrollada en la ciudad de General Ramírez, provincia de Entre Ríos, donde la Asociación de Bomberos Voluntarios de General Ramírez tuvo un rol protagónico en la gestación y presentación de la iniciativa a través de la Banca Ciudadana del Honorable Concejo Deliberante, realizada el 15 de octubre de 2025. Dicha presentación surgió de la experiencia directa del cuerpo de bomberos en intervenciones de emergencia, en las que se evidenciaron las dificultades existentes para asistir adecuadamente a personas con desafíos en la comunicación.</w:t>
      </w:r>
    </w:p>
    <w:p w14:paraId="6414D877" w14:textId="77777777" w:rsidR="00BF19A2" w:rsidRDefault="001036DB" w:rsidP="00DB5BCD">
      <w:pPr>
        <w:ind w:firstLine="708"/>
        <w:jc w:val="both"/>
      </w:pPr>
      <w:r>
        <w:t xml:space="preserve">A partir de esta iniciativa ciudadana, el Honorable Concejo Deliberante de General Ramírez sancionó la Ordenanza Nº 2667, estableciendo un procedimiento específico para la atención de personas con desafíos en la comunicación en situaciones </w:t>
      </w:r>
      <w:r>
        <w:lastRenderedPageBreak/>
        <w:t>de emergencia. Esta norma incorporó herramientas concretas como la creación de un registro voluntario, la provisión de kits de primeros auxilios psicológicos y la capacitación del personal de los servicios de emergencia, constituyéndose en una buena práctica legislativa nacida desde el territorio y desde quienes intervienen en la primera línea de respuesta.</w:t>
      </w:r>
    </w:p>
    <w:p w14:paraId="0EC12F3D" w14:textId="77777777" w:rsidR="00BF19A2" w:rsidRDefault="001036DB" w:rsidP="00DB5BCD">
      <w:pPr>
        <w:ind w:firstLine="708"/>
        <w:jc w:val="both"/>
      </w:pPr>
      <w:r>
        <w:t>Las experiencias de Villa María y General Ramírez ponen de manifiesto el valor de las iniciativas locales como antecedentes normativos y laboratorios de políticas públicas, así como la importancia de la participación ciudadana y del aporte de los actores operativos en la construcción de respuestas estatales eficaces.</w:t>
      </w:r>
    </w:p>
    <w:p w14:paraId="243E011E" w14:textId="77777777" w:rsidR="00BF19A2" w:rsidRDefault="001036DB" w:rsidP="00DB5BCD">
      <w:pPr>
        <w:ind w:firstLine="708"/>
        <w:jc w:val="both"/>
      </w:pPr>
      <w:r>
        <w:t>El proyecto se sustenta en los principios de igualdad, no discriminación y accesibilidad, consagrados en la Constitución Nacional y en los tratados internacionales de derechos humanos con jerarquía constitucional, en particular la Convención sobre los Derechos de las Personas con Discapacidad, que impone al Estado la obligación de garantizar el acceso efectivo y en igualdad de condiciones a los servicios de emergencia.</w:t>
      </w:r>
    </w:p>
    <w:p w14:paraId="79BD9A16" w14:textId="77777777" w:rsidR="00BF19A2" w:rsidRDefault="001036DB" w:rsidP="00DB5BCD">
      <w:pPr>
        <w:ind w:firstLine="708"/>
        <w:jc w:val="both"/>
      </w:pPr>
      <w:r>
        <w:t>La creación de un Registro Único Voluntario, la incorporación de kits de primeros auxilios psicológicos y elementos de regulación sensorial, así como la capacitación obligatoria del personal interviniente, constituyen herramientas indispensables para asegurar intervenciones adecuadas, prevenir conflictos y proteger tanto a las personas asistidas como a los agentes estatales.</w:t>
      </w:r>
    </w:p>
    <w:p w14:paraId="79CD350D" w14:textId="77777777" w:rsidR="00BF19A2" w:rsidRDefault="001036DB" w:rsidP="00DB5BCD">
      <w:pPr>
        <w:ind w:firstLine="708"/>
        <w:jc w:val="both"/>
      </w:pPr>
      <w:r>
        <w:t>Finalmente, la promoción de mecanismos de identificación voluntaria, la articulación interinstitucional y la difusión de la normativa permiten consolidar un sistema de respuesta coordinado, inclusivo y centrado en la persona, alineado con una concepción moderna de la seguridad y la protección civil.</w:t>
      </w:r>
    </w:p>
    <w:p w14:paraId="507925B0" w14:textId="77777777" w:rsidR="00BF19A2" w:rsidRDefault="001036DB" w:rsidP="00DB5BCD">
      <w:pPr>
        <w:ind w:firstLine="708"/>
        <w:jc w:val="both"/>
      </w:pPr>
      <w:r>
        <w:t>Por todo lo expuesto, y tomando como antecedentes las experiencias de la Ciudad de Villa María (Ordenanza Nº 7519) y de la Ciudad de General Ramírez, impulsada por la Asociación de Bomberos Voluntarios a través de la Banca Ciudadana el 15 de octubre de 2025, el presente proyecto de ley se presenta como una herramienta necesaria, razonable y efectiva para garantizar derechos, prevenir situaciones de violencia institucional y fortalecer la capacidad de respuesta del Estado, solicitando el acompañamiento de las señoras y los señores legisladores.</w:t>
      </w:r>
    </w:p>
    <w:p w14:paraId="52A7B56A" w14:textId="77777777" w:rsidR="00BF19A2" w:rsidRDefault="00BF19A2" w:rsidP="008A71F8">
      <w:pPr>
        <w:jc w:val="both"/>
      </w:pPr>
    </w:p>
    <w:p w14:paraId="06E7939B" w14:textId="77777777" w:rsidR="00BF19A2" w:rsidRDefault="00BF19A2" w:rsidP="008A71F8">
      <w:pPr>
        <w:jc w:val="both"/>
      </w:pPr>
    </w:p>
    <w:p w14:paraId="7D164A97" w14:textId="77777777" w:rsidR="00BF19A2" w:rsidRDefault="00BF19A2" w:rsidP="008A71F8">
      <w:pPr>
        <w:jc w:val="both"/>
      </w:pPr>
    </w:p>
    <w:p w14:paraId="5B388647" w14:textId="77777777" w:rsidR="00BF19A2" w:rsidRDefault="00BF19A2" w:rsidP="008A71F8">
      <w:pPr>
        <w:jc w:val="both"/>
      </w:pPr>
    </w:p>
    <w:p w14:paraId="228442B6" w14:textId="77777777" w:rsidR="00BF19A2" w:rsidRDefault="00BF19A2" w:rsidP="008A71F8">
      <w:pPr>
        <w:jc w:val="both"/>
      </w:pPr>
    </w:p>
    <w:p w14:paraId="47000FB1" w14:textId="77777777" w:rsidR="00BF19A2" w:rsidRDefault="00BF19A2" w:rsidP="008A71F8">
      <w:pPr>
        <w:jc w:val="both"/>
      </w:pPr>
    </w:p>
    <w:p w14:paraId="6866CF64" w14:textId="77777777" w:rsidR="00BF19A2" w:rsidRDefault="00BF19A2" w:rsidP="008A71F8">
      <w:pPr>
        <w:jc w:val="both"/>
      </w:pPr>
    </w:p>
    <w:p w14:paraId="4B2F2437" w14:textId="77777777" w:rsidR="00BF19A2" w:rsidRDefault="00BF19A2" w:rsidP="008A71F8">
      <w:pPr>
        <w:jc w:val="both"/>
      </w:pPr>
    </w:p>
    <w:sectPr w:rsidR="00BF19A2" w:rsidSect="00D579D3">
      <w:pgSz w:w="11906" w:h="16838"/>
      <w:pgMar w:top="1417" w:right="1701" w:bottom="1417" w:left="170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0A33B" w14:textId="77777777" w:rsidR="00886C55" w:rsidRDefault="00886C55">
      <w:pPr>
        <w:spacing w:after="0" w:line="240" w:lineRule="auto"/>
      </w:pPr>
      <w:r>
        <w:separator/>
      </w:r>
    </w:p>
  </w:endnote>
  <w:endnote w:type="continuationSeparator" w:id="0">
    <w:p w14:paraId="347DE198" w14:textId="77777777" w:rsidR="00886C55" w:rsidRDefault="0088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D2D87" w14:textId="77777777" w:rsidR="00886C55" w:rsidRDefault="00886C55">
      <w:pPr>
        <w:spacing w:after="0" w:line="240" w:lineRule="auto"/>
      </w:pPr>
      <w:r>
        <w:separator/>
      </w:r>
    </w:p>
  </w:footnote>
  <w:footnote w:type="continuationSeparator" w:id="0">
    <w:p w14:paraId="5ED8D191" w14:textId="77777777" w:rsidR="00886C55" w:rsidRDefault="00886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A2"/>
    <w:rsid w:val="000A4BEA"/>
    <w:rsid w:val="001036DB"/>
    <w:rsid w:val="001531E4"/>
    <w:rsid w:val="00286FA2"/>
    <w:rsid w:val="002D555E"/>
    <w:rsid w:val="003F762F"/>
    <w:rsid w:val="00681E28"/>
    <w:rsid w:val="00756C23"/>
    <w:rsid w:val="00853B90"/>
    <w:rsid w:val="00876357"/>
    <w:rsid w:val="00886C55"/>
    <w:rsid w:val="008A71F8"/>
    <w:rsid w:val="008F15B8"/>
    <w:rsid w:val="009C7D53"/>
    <w:rsid w:val="00A7339C"/>
    <w:rsid w:val="00A93E7B"/>
    <w:rsid w:val="00B44BF4"/>
    <w:rsid w:val="00BB65F7"/>
    <w:rsid w:val="00BF19A2"/>
    <w:rsid w:val="00C228AE"/>
    <w:rsid w:val="00C52BED"/>
    <w:rsid w:val="00C7717C"/>
    <w:rsid w:val="00D579D3"/>
    <w:rsid w:val="00DB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9319"/>
  <w15:docId w15:val="{E6F043F9-5053-484F-9D2B-28CF67B1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a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basedOn w:val="Tabla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decuadrcula1clara">
    <w:name w:val="Grid Table 1 Light"/>
    <w:basedOn w:val="Tabla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5oscura">
    <w:name w:val="Grid Table 5 Dark"/>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decuadrcula6concolores">
    <w:name w:val="Grid Table 6 Colorful"/>
    <w:basedOn w:val="Tabla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decuadrcula7concolores">
    <w:name w:val="Grid Table 7 Colorful"/>
    <w:basedOn w:val="Tabla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s-AR" w:eastAsia="es-A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s-AR" w:eastAsia="es-A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2E74B5"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2E74B5"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2E74B5"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2E74B5" w:themeColor="accent1" w:themeShade="BF"/>
    </w:rPr>
  </w:style>
  <w:style w:type="character" w:customStyle="1" w:styleId="Ttulo5Car">
    <w:name w:val="Título 5 Car"/>
    <w:basedOn w:val="Fuentedeprrafopredeter"/>
    <w:link w:val="Ttulo5"/>
    <w:uiPriority w:val="9"/>
    <w:rPr>
      <w:rFonts w:ascii="Arial" w:eastAsia="Arial" w:hAnsi="Arial" w:cs="Arial"/>
      <w:color w:val="2E74B5"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paragraph" w:styleId="Puesto">
    <w:name w:val="Title"/>
    <w:basedOn w:val="Normal"/>
    <w:next w:val="Normal"/>
    <w:link w:val="PuestoCar"/>
    <w:uiPriority w:val="10"/>
    <w:qFormat/>
    <w:pPr>
      <w:spacing w:after="80" w:line="240" w:lineRule="auto"/>
      <w:contextualSpacing/>
    </w:pPr>
    <w:rPr>
      <w:rFonts w:ascii="Arial" w:eastAsia="Arial" w:hAnsi="Arial" w:cs="Arial"/>
      <w:spacing w:val="-10"/>
      <w:sz w:val="56"/>
      <w:szCs w:val="56"/>
    </w:rPr>
  </w:style>
  <w:style w:type="character" w:customStyle="1" w:styleId="PuestoCar">
    <w:name w:val="Puesto Car"/>
    <w:basedOn w:val="Fuentedeprrafopredeter"/>
    <w:link w:val="Puest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2E74B5" w:themeColor="accent1" w:themeShade="BF"/>
    </w:rPr>
  </w:style>
  <w:style w:type="paragraph" w:styleId="Citadestacada">
    <w:name w:val="Intense Quote"/>
    <w:basedOn w:val="Normal"/>
    <w:next w:val="Normal"/>
    <w:link w:val="Citadestacada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paragraph" w:styleId="Encabezado">
    <w:name w:val="header"/>
    <w:basedOn w:val="Normal"/>
    <w:link w:val="EncabezadoCar"/>
    <w:uiPriority w:val="99"/>
    <w:unhideWhenUsed/>
    <w:pPr>
      <w:tabs>
        <w:tab w:val="center" w:pos="4844"/>
        <w:tab w:val="right" w:pos="9689"/>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844"/>
        <w:tab w:val="right" w:pos="9689"/>
      </w:tabs>
      <w:spacing w:after="0" w:line="240" w:lineRule="auto"/>
    </w:pPr>
  </w:style>
  <w:style w:type="character" w:customStyle="1" w:styleId="PiedepginaCar">
    <w:name w:val="Pie de página Car"/>
    <w:basedOn w:val="Fuentedeprrafopredeter"/>
    <w:link w:val="Piedepgina"/>
    <w:uiPriority w:val="99"/>
  </w:style>
  <w:style w:type="paragraph" w:styleId="Descripcin">
    <w:name w:val="caption"/>
    <w:basedOn w:val="Normal"/>
    <w:next w:val="Normal"/>
    <w:uiPriority w:val="35"/>
    <w:unhideWhenUsed/>
    <w:qFormat/>
    <w:pPr>
      <w:spacing w:line="240" w:lineRule="auto"/>
    </w:pPr>
    <w:rPr>
      <w:i/>
      <w:iCs/>
      <w:color w:val="44546A" w:themeColor="text2"/>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TDC1">
    <w:name w:val="toc 1"/>
    <w:basedOn w:val="Normal"/>
    <w:next w:val="Normal"/>
    <w:uiPriority w:val="39"/>
    <w:unhideWhenUsed/>
    <w:pPr>
      <w:spacing w:after="100"/>
    </w:pPr>
  </w:style>
  <w:style w:type="paragraph" w:styleId="TDC2">
    <w:name w:val="toc 2"/>
    <w:basedOn w:val="Normal"/>
    <w:next w:val="Normal"/>
    <w:uiPriority w:val="39"/>
    <w:unhideWhenUsed/>
    <w:pPr>
      <w:spacing w:after="100"/>
      <w:ind w:left="220"/>
    </w:pPr>
  </w:style>
  <w:style w:type="paragraph" w:styleId="TDC3">
    <w:name w:val="toc 3"/>
    <w:basedOn w:val="Normal"/>
    <w:next w:val="Normal"/>
    <w:uiPriority w:val="39"/>
    <w:unhideWhenUsed/>
    <w:pPr>
      <w:spacing w:after="100"/>
      <w:ind w:left="440"/>
    </w:p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tulode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Sinespaciado">
    <w:name w:val="No Spacing"/>
    <w:basedOn w:val="Normal"/>
    <w:uiPriority w:val="1"/>
    <w:qFormat/>
    <w:pPr>
      <w:spacing w:after="0" w:line="240" w:lineRule="auto"/>
    </w:pPr>
  </w:style>
  <w:style w:type="paragraph" w:styleId="Prrafodelista">
    <w:name w:val="List Paragraph"/>
    <w:basedOn w:val="Normal"/>
    <w:uiPriority w:val="34"/>
    <w:qFormat/>
    <w:pPr>
      <w:ind w:left="720"/>
      <w:contextualSpacing/>
    </w:pPr>
  </w:style>
  <w:style w:type="paragraph" w:styleId="NormalWeb">
    <w:name w:val="Normal (Web)"/>
    <w:basedOn w:val="Normal"/>
    <w:uiPriority w:val="99"/>
    <w:unhideWhenUsed/>
    <w:rsid w:val="00B44BF4"/>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1358</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8</cp:revision>
  <dcterms:created xsi:type="dcterms:W3CDTF">2025-12-16T12:45:00Z</dcterms:created>
  <dcterms:modified xsi:type="dcterms:W3CDTF">2025-12-16T13:57:00Z</dcterms:modified>
</cp:coreProperties>
</file>