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2D3" w:rsidRPr="003D1455" w:rsidRDefault="003D1455" w:rsidP="003D1455">
      <w:pPr>
        <w:pStyle w:val="NormalWeb"/>
      </w:pPr>
      <w:r>
        <w:rPr>
          <w:noProof/>
        </w:rPr>
        <w:drawing>
          <wp:inline distT="0" distB="0" distL="0" distR="0" wp14:anchorId="488199A3" wp14:editId="06C5C83F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65C" w:rsidRPr="00B3665C" w:rsidRDefault="00B3665C" w:rsidP="00B3665C">
      <w:pPr>
        <w:spacing w:before="100" w:beforeAutospacing="1" w:after="100" w:afterAutospacing="1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PROYECTO DE LEY</w:t>
      </w:r>
    </w:p>
    <w:p w:rsidR="00B3665C" w:rsidRPr="00B3665C" w:rsidRDefault="00B3665C" w:rsidP="00B3665C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FUNDAMENTOS</w:t>
      </w:r>
    </w:p>
    <w:p w:rsidR="00B3665C" w:rsidRPr="00B3665C" w:rsidRDefault="00B3665C" w:rsidP="00B3665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El presente proyecto de ley tiene por objeto autorizar al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Poder Ejecutivo de la Provincia de Entre Ríos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 a transferir, a título gratuito, un inmueble de propiedad provincial a favor de la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Comuna de Aldea </w:t>
      </w:r>
      <w:proofErr w:type="spellStart"/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Spatzenkutter</w:t>
      </w:r>
      <w:proofErr w:type="spellEnd"/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, del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Departamento Diamante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B3665C" w:rsidRPr="00B3665C" w:rsidRDefault="00B3665C" w:rsidP="00B3665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La Comuna, a través de su Presidente Comunal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Juan </w:t>
      </w:r>
      <w:proofErr w:type="spellStart"/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Lell</w:t>
      </w:r>
      <w:proofErr w:type="spellEnd"/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, viene desarrollando de manera sostenida procesos de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regularización dominial y ordenamiento territorial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 en el ámbito de su planta urbana. En ese contexto, se ha identificado la necesidad de regularizar la titularidad de determinados bienes inmuebles actualmente registrados a nombre del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Superior Gobierno de la Provincia de Entre Ríos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>, pero cuya afectación funcional y uso efectivo corresponde a la Comuna.</w:t>
      </w:r>
    </w:p>
    <w:p w:rsidR="00B3665C" w:rsidRPr="00B3665C" w:rsidRDefault="00B3665C" w:rsidP="00B3665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En particular, se trata de la parcela que, conforme al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Plano de Mensura N° 43.937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,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Partida Inmobiliaria N° 03-128937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,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Matrícula N° 22.558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, con una superficie de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1.152 m²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, figura actualmente a nombre del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Superior Gobierno de la Provincia de Entre Ríos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, y se destina a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sede comunal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B3665C" w:rsidRPr="00B3665C" w:rsidRDefault="00B3665C" w:rsidP="00B3665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La transferencia dominial propuesta encuentra sustento legal en el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artículo 33° de la Ley de Comunas N° 10.644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>, que dispone:</w:t>
      </w:r>
    </w:p>
    <w:p w:rsidR="00B3665C" w:rsidRPr="00B3665C" w:rsidRDefault="00B3665C" w:rsidP="00B3665C">
      <w:pPr>
        <w:spacing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B3665C">
        <w:rPr>
          <w:rFonts w:ascii="Arial" w:eastAsia="Times New Roman" w:hAnsi="Arial" w:cs="Arial"/>
          <w:sz w:val="24"/>
          <w:szCs w:val="24"/>
          <w:lang w:eastAsia="es-AR"/>
        </w:rPr>
        <w:t>“El Patrimonio de las Comunas estará conformado por los bienes inmuebles, muebles, las donaciones, semovientes, títulos, acciones y legados aceptados y las tierras fiscales que se encuentren comprendidas dentro de su jurisdicción y que no sean propiedad del Estado nacional”.</w:t>
      </w:r>
    </w:p>
    <w:p w:rsidR="00B3665C" w:rsidRPr="00B3665C" w:rsidRDefault="00B3665C" w:rsidP="00B3665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En virtud de lo expuesto, corresponde avanzar en la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regularización dominial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 de dicho inmueble mediante la donación a favor de la Comuna de Aldea </w:t>
      </w:r>
      <w:proofErr w:type="spellStart"/>
      <w:r w:rsidRPr="00B3665C">
        <w:rPr>
          <w:rFonts w:ascii="Arial" w:eastAsia="Times New Roman" w:hAnsi="Arial" w:cs="Arial"/>
          <w:sz w:val="24"/>
          <w:szCs w:val="24"/>
          <w:lang w:eastAsia="es-AR"/>
        </w:rPr>
        <w:t>Spatzenkutter</w:t>
      </w:r>
      <w:proofErr w:type="spellEnd"/>
      <w:r w:rsidRPr="00B3665C">
        <w:rPr>
          <w:rFonts w:ascii="Arial" w:eastAsia="Times New Roman" w:hAnsi="Arial" w:cs="Arial"/>
          <w:sz w:val="24"/>
          <w:szCs w:val="24"/>
          <w:lang w:eastAsia="es-AR"/>
        </w:rPr>
        <w:t>, a fin de consolidar su patrimonio y garantizar la seguridad jurídica sobre los bienes públicos destinados al funcionamiento institucional de la misma.</w:t>
      </w:r>
    </w:p>
    <w:p w:rsidR="00B3665C" w:rsidRPr="00B3665C" w:rsidRDefault="00B3665C" w:rsidP="00B3665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Por ello, se solicita al Cuerpo Legislativo el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tratamiento</w:t>
      </w:r>
      <w:r w:rsidR="003D145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.-</w:t>
      </w:r>
      <w:bookmarkStart w:id="0" w:name="_GoBack"/>
      <w:bookmarkEnd w:id="0"/>
    </w:p>
    <w:p w:rsidR="003D1455" w:rsidRPr="003D1455" w:rsidRDefault="003D1455" w:rsidP="003D1455">
      <w:pPr>
        <w:pStyle w:val="NormalWeb"/>
      </w:pPr>
      <w:r>
        <w:rPr>
          <w:noProof/>
        </w:rPr>
        <w:lastRenderedPageBreak/>
        <w:drawing>
          <wp:inline distT="0" distB="0" distL="0" distR="0" wp14:anchorId="311D7891" wp14:editId="7045DAAC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455" w:rsidRDefault="003D1455" w:rsidP="003D1455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B3665C" w:rsidRPr="00B3665C" w:rsidRDefault="00B3665C" w:rsidP="00B3665C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LA LEGISLATURA DE LA PROVINCIA DE ENTRE RÍOS</w:t>
      </w:r>
    </w:p>
    <w:p w:rsidR="00B3665C" w:rsidRPr="00B3665C" w:rsidRDefault="00B3665C" w:rsidP="00B3665C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AR"/>
        </w:rPr>
      </w:pP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SANCIONA CON FUERZA DE LEY:</w:t>
      </w:r>
    </w:p>
    <w:p w:rsidR="00B3665C" w:rsidRPr="00B3665C" w:rsidRDefault="00B3665C" w:rsidP="00B3665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Artículo 1°.-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 Autorizase al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Superior Gobierno de la Provincia de Entre Ríos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 a transferir, a título de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donación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, a favor de la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Comuna de Aldea </w:t>
      </w:r>
      <w:proofErr w:type="spellStart"/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Spatzenkutter</w:t>
      </w:r>
      <w:proofErr w:type="spellEnd"/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, la parcela identificada con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Plano de Mensura N° 43.937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,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Partida Inmobiliaria N° 03-128937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,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Matrícula N° 22.558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, con una superficie de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1.152 m²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, inscripta a nombre del Superior Gobierno de la Provincia de Entre Ríos, con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destino a sede comunal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B3665C" w:rsidRPr="00B3665C" w:rsidRDefault="00B3665C" w:rsidP="00B3665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Artículo 2°.-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 Facúltese a la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Escribanía Mayor de Gobierno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 a realizar los trámites y gestiones conducentes a la efectiva </w:t>
      </w: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transferencia del dominio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 del inmueble mencionado en el artículo precedente a favor de la Comuna de Aldea </w:t>
      </w:r>
      <w:proofErr w:type="spellStart"/>
      <w:r w:rsidRPr="00B3665C">
        <w:rPr>
          <w:rFonts w:ascii="Arial" w:eastAsia="Times New Roman" w:hAnsi="Arial" w:cs="Arial"/>
          <w:sz w:val="24"/>
          <w:szCs w:val="24"/>
          <w:lang w:eastAsia="es-AR"/>
        </w:rPr>
        <w:t>Spatzenkutter</w:t>
      </w:r>
      <w:proofErr w:type="spellEnd"/>
      <w:r w:rsidRPr="00B3665C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AB2741" w:rsidRPr="003D1455" w:rsidRDefault="00B3665C" w:rsidP="003D145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B3665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Artículo 3°.-</w:t>
      </w:r>
      <w:r w:rsidRPr="00B3665C">
        <w:rPr>
          <w:rFonts w:ascii="Arial" w:eastAsia="Times New Roman" w:hAnsi="Arial" w:cs="Arial"/>
          <w:sz w:val="24"/>
          <w:szCs w:val="24"/>
          <w:lang w:eastAsia="es-AR"/>
        </w:rPr>
        <w:t xml:space="preserve"> De forma.</w:t>
      </w:r>
    </w:p>
    <w:sectPr w:rsidR="00AB2741" w:rsidRPr="003D1455" w:rsidSect="00B3665C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874" w:rsidRDefault="00D81874" w:rsidP="003D1455">
      <w:pPr>
        <w:spacing w:after="0" w:line="240" w:lineRule="auto"/>
      </w:pPr>
      <w:r>
        <w:separator/>
      </w:r>
    </w:p>
  </w:endnote>
  <w:endnote w:type="continuationSeparator" w:id="0">
    <w:p w:rsidR="00D81874" w:rsidRDefault="00D81874" w:rsidP="003D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874" w:rsidRDefault="00D81874" w:rsidP="003D1455">
      <w:pPr>
        <w:spacing w:after="0" w:line="240" w:lineRule="auto"/>
      </w:pPr>
      <w:r>
        <w:separator/>
      </w:r>
    </w:p>
  </w:footnote>
  <w:footnote w:type="continuationSeparator" w:id="0">
    <w:p w:rsidR="00D81874" w:rsidRDefault="00D81874" w:rsidP="003D1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5C"/>
    <w:rsid w:val="003D1455"/>
    <w:rsid w:val="00AB2741"/>
    <w:rsid w:val="00B3665C"/>
    <w:rsid w:val="00C622D3"/>
    <w:rsid w:val="00D8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73616-4D6C-443E-9C45-20C0D427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1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455"/>
  </w:style>
  <w:style w:type="paragraph" w:styleId="Piedepgina">
    <w:name w:val="footer"/>
    <w:basedOn w:val="Normal"/>
    <w:link w:val="PiedepginaCar"/>
    <w:uiPriority w:val="99"/>
    <w:unhideWhenUsed/>
    <w:rsid w:val="003D1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455"/>
  </w:style>
  <w:style w:type="paragraph" w:styleId="NormalWeb">
    <w:name w:val="Normal (Web)"/>
    <w:basedOn w:val="Normal"/>
    <w:uiPriority w:val="99"/>
    <w:unhideWhenUsed/>
    <w:rsid w:val="003D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9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Cuenta Microsoft</cp:lastModifiedBy>
  <cp:revision>2</cp:revision>
  <dcterms:created xsi:type="dcterms:W3CDTF">2025-11-12T14:01:00Z</dcterms:created>
  <dcterms:modified xsi:type="dcterms:W3CDTF">2025-11-12T14:01:00Z</dcterms:modified>
</cp:coreProperties>
</file>