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PROYECTO DE DECLARACIÓN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lef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FUNDAMENTOS: 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Sra. Presidenta: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La declaración de interés que aquí se presenta tiene como propósito reconocer la destacada labor educativa desarrollada por la </w:t>
      </w: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Escuela Secundaria N.º 2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, institución que en este año 2025 celebra sus </w:t>
      </w: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25 años de trayectoria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al servicio de la educación pública en la ciudad de </w:t>
      </w: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San José de Feliciano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Su creación se remonta a </w:t>
      </w: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marzo del año 2000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, mediante resolución provincial, iniciando sus actividades en el edificio de la </w:t>
      </w: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Escuela Primaria N.º 2 “General Las Heras”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, ubicado en el Barrio Estación sobre calle Ramírez. En sus comienzos, la institución funcionó bajo la denominación </w:t>
      </w: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E.P.N.M. N.º 199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, ofreciendo séptimo y octavo año de la E.G.B. 3. Un año más tarde, se incorporó el noveno año, alcanzando una matrícula inicial superior a los treinta estudiantes, provenientes del propio barrio, de zonas aledañas y del ámbito rural.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Desde su origen, la escuela representó una oportunidad concreta para que muchos jóvenes pudieran continuar su trayectoria educativa sin tener que desplazarse largas distancias. El </w:t>
      </w: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transporte escolar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, en ese sentido, constituyó una herramienta fundamental para garantizar el acceso a la educación y la igualdad de oportunidades. Su primera directora fue la </w:t>
      </w: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profesora María del Carmen Carbajal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, quien, junto al cuerpo docente, sentó las bases de una comunidad escolar comprometida con el crecimiento colectivo.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Posteriormente, la institución se transformó en </w:t>
      </w: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Nivel Polimodal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, completando la educación secundaria con tres años (1.º, 2.º y 3.º Polimodal) bajo la </w:t>
      </w: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Orientación en Ciencias Sociales y Humanidades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. Con el tiempo, adoptó el actual formato de </w:t>
      </w: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Escuela Secundaria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, estructurada en seis años (de 1.º a 6.º), manteniendo la misma orientación.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El sostenido crecimiento de la matrícula, junto con la convivencia compartida con la Escuela Primaria N.º 2, hizo necesario readecuar horarios y espacios. Así, la Escuela Secundaria N.º 2 comenzó a funcionar en turno vespertino, modalidad que continúa vigente en la actualidad.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Un hecho histórico marcó el año </w:t>
      </w: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2023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, cuando, gracias a las </w:t>
      </w: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gestiones políticas y educativas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, la institución inauguró su </w:t>
      </w: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propio edificio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, ubicado sobre la </w:t>
      </w: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Avenida Circunvalación de la ciudad de San José de Feliciano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. Este logro, largamente esperado, significó un antes y un después en la vida de la comunidad educativa, brindando un entorno adecuado para el desarrollo pedagógico y el bienestar de estudiantes y docentes.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A lo largo de estos veinticinco años, la Escuela Secundaria N.º 2 se ha consolidado como un espacio de </w:t>
      </w: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dedicación, perseverancia y crecimiento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, acompañando a generaciones de jóvenes en su formación integral y en la construcción de un futuro mejor para la comunidad.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Por todo lo expuesto, se considera justo y necesario destacar públicamente esta trayectoria ejemplar y el compromiso de quienes, a lo largo del tiempo, han hecho posible que la escuela sea hoy un pilar educativo y social de Feliciano.</w:t>
      </w:r>
    </w:p>
    <w:p w:rsidR="00000000" w:rsidDel="00000000" w:rsidP="00000000" w:rsidRDefault="00000000" w:rsidRPr="00000000" w14:paraId="0000000D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200" w:before="200" w:lineRule="auto"/>
        <w:jc w:val="center"/>
        <w:rPr>
          <w:rFonts w:ascii="Arial" w:cs="Arial" w:eastAsia="Arial" w:hAnsi="Arial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200" w:before="200" w:lineRule="auto"/>
        <w:jc w:val="center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LA HONORABLE CÁMARA DE SENADORES DE LA PROVINCIA DE ENTRE RÍOS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hd w:fill="ffffff" w:val="clear"/>
        <w:spacing w:after="200" w:before="200" w:lineRule="auto"/>
        <w:jc w:val="center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DECLARA: </w:t>
      </w:r>
    </w:p>
    <w:p w:rsidR="00000000" w:rsidDel="00000000" w:rsidP="00000000" w:rsidRDefault="00000000" w:rsidRPr="00000000" w14:paraId="0000002B">
      <w:pPr>
        <w:shd w:fill="ffffff" w:val="clear"/>
        <w:spacing w:after="240" w:before="24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PRIMERO: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De interés legislativo la trayectoria educativa de la </w:t>
      </w: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Escuela Secundaria N.º 2 de San José de Feliciano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, en el marco de su </w:t>
      </w: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25.º Aniversario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, a celebrarse durante el año 2025.</w:t>
      </w:r>
    </w:p>
    <w:p w:rsidR="00000000" w:rsidDel="00000000" w:rsidP="00000000" w:rsidRDefault="00000000" w:rsidRPr="00000000" w14:paraId="0000002C">
      <w:pPr>
        <w:shd w:fill="ffffff" w:val="clear"/>
        <w:spacing w:after="240" w:before="24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SEGUNDO: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Comuníquese y remítase copia a la </w:t>
      </w: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Dirección Departamental de Escuelas de Feliciano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, a la </w:t>
      </w: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directora de la institución educativa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y al </w:t>
      </w: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Departamento Ejecutivo Municipal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.</w:t>
      </w:r>
    </w:p>
    <w:p w:rsidR="00000000" w:rsidDel="00000000" w:rsidP="00000000" w:rsidRDefault="00000000" w:rsidRPr="00000000" w14:paraId="0000002D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342390" cy="6096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5523" l="68926" r="844" t="0"/>
                  <a:stretch>
                    <a:fillRect/>
                  </a:stretch>
                </pic:blipFill>
                <pic:spPr>
                  <a:xfrm>
                    <a:off x="0" y="0"/>
                    <a:ext cx="1342390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28593E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8593E"/>
  </w:style>
  <w:style w:type="paragraph" w:styleId="Piedepgina">
    <w:name w:val="footer"/>
    <w:basedOn w:val="Normal"/>
    <w:link w:val="PiedepginaCar"/>
    <w:uiPriority w:val="99"/>
    <w:unhideWhenUsed w:val="1"/>
    <w:rsid w:val="0028593E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8593E"/>
  </w:style>
  <w:style w:type="paragraph" w:styleId="Prrafodelista">
    <w:name w:val="List Paragraph"/>
    <w:basedOn w:val="Normal"/>
    <w:uiPriority w:val="34"/>
    <w:qFormat w:val="1"/>
    <w:rsid w:val="0028593E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8593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8593E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KY/rOuAecqi+FLIYBLxmB4DhJA==">CgMxLjA4AHIhMXlYby1MMklLTGJCcE1Rb2NseUNzTUxLcUNmX1BuUmZs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2024-03-06T11:02:00Z</dcterms:created>
  <dc:creator>Senado</dc:creator>
</cp:coreProperties>
</file>