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E29" w:rsidRPr="00951E29" w:rsidRDefault="00951E29" w:rsidP="00951E29">
      <w:pPr>
        <w:spacing w:before="240" w:after="240" w:line="360" w:lineRule="auto"/>
        <w:ind w:firstLine="1133"/>
        <w:jc w:val="both"/>
        <w:rPr>
          <w:rFonts w:ascii="Arial" w:eastAsia="Arial" w:hAnsi="Arial" w:cs="Arial"/>
          <w:sz w:val="24"/>
          <w:szCs w:val="24"/>
          <w:lang w:val="es-ES"/>
        </w:rPr>
      </w:pPr>
      <w:r w:rsidRPr="00951E29">
        <w:rPr>
          <w:rFonts w:ascii="Arial" w:eastAsia="Arial" w:hAnsi="Arial" w:cs="Arial"/>
          <w:b/>
          <w:bCs/>
          <w:sz w:val="24"/>
          <w:szCs w:val="24"/>
          <w:lang w:val="es-ES"/>
        </w:rPr>
        <w:t>LA HONORABLE CÁMARA DE SENADORES DE LA PROVINCIA DE ENTRE RÍOS</w:t>
      </w:r>
    </w:p>
    <w:p w:rsidR="00331B71" w:rsidRPr="00331B71" w:rsidRDefault="00331B71" w:rsidP="00331B71">
      <w:pPr>
        <w:spacing w:before="240" w:after="240" w:line="360" w:lineRule="auto"/>
        <w:ind w:firstLine="1133"/>
        <w:jc w:val="both"/>
        <w:rPr>
          <w:rFonts w:ascii="Arial" w:eastAsia="Arial" w:hAnsi="Arial" w:cs="Arial"/>
          <w:sz w:val="24"/>
          <w:szCs w:val="24"/>
          <w:lang w:val="es-ES"/>
        </w:rPr>
      </w:pPr>
      <w:r w:rsidRPr="00331B71">
        <w:rPr>
          <w:rFonts w:ascii="Arial" w:eastAsia="Arial" w:hAnsi="Arial" w:cs="Arial"/>
          <w:sz w:val="24"/>
          <w:szCs w:val="24"/>
          <w:lang w:val="es-ES"/>
        </w:rPr>
        <w:t xml:space="preserve">La Honorable Cámara de Senadores de la Provincia de Entre Ríos </w:t>
      </w:r>
      <w:r w:rsidRPr="00331B71">
        <w:rPr>
          <w:rFonts w:ascii="Arial" w:eastAsia="Arial" w:hAnsi="Arial" w:cs="Arial"/>
          <w:b/>
          <w:bCs/>
          <w:sz w:val="24"/>
          <w:szCs w:val="24"/>
          <w:lang w:val="es-ES"/>
        </w:rPr>
        <w:t>vería con agrado que el Poder Ejecutivo Provincial, a través del Ministerio de Gobierno, el Consejo General de Educación (CGE) y el INAUBEPRO, revise de forma urgente la medida administrativa dispuesta en el marco de la Licitación Pública 2024 del Servicio de Transporte Escolar Rural, que ha implicado la terminación anticipada de diversos tramos en instituciones educativas del Departamento La Paz, y disponga la restitución inmediata del servicio a fin de garantizar el acceso equitativo a la educación.</w:t>
      </w:r>
    </w:p>
    <w:p w:rsidR="00331B71" w:rsidRPr="00331B71" w:rsidRDefault="00331B71" w:rsidP="00331B71">
      <w:pPr>
        <w:spacing w:before="240" w:after="240" w:line="360" w:lineRule="auto"/>
        <w:ind w:firstLine="1133"/>
        <w:jc w:val="both"/>
        <w:rPr>
          <w:rFonts w:ascii="Arial" w:eastAsia="Arial" w:hAnsi="Arial" w:cs="Arial"/>
          <w:sz w:val="24"/>
          <w:szCs w:val="24"/>
          <w:lang w:val="es-ES"/>
        </w:rPr>
      </w:pPr>
      <w:r w:rsidRPr="00331B71">
        <w:rPr>
          <w:rFonts w:ascii="Arial" w:eastAsia="Arial" w:hAnsi="Arial" w:cs="Arial"/>
          <w:sz w:val="24"/>
          <w:szCs w:val="24"/>
          <w:lang w:val="es-ES"/>
        </w:rPr>
        <w:t>En particular, se solicita que se deje sin efecto:</w:t>
      </w:r>
    </w:p>
    <w:p w:rsidR="00331B71" w:rsidRPr="00331B71" w:rsidRDefault="00331B71" w:rsidP="00331B71">
      <w:pPr>
        <w:numPr>
          <w:ilvl w:val="0"/>
          <w:numId w:val="4"/>
        </w:numPr>
        <w:spacing w:before="240" w:after="240" w:line="360" w:lineRule="auto"/>
        <w:jc w:val="both"/>
        <w:rPr>
          <w:rFonts w:ascii="Arial" w:eastAsia="Arial" w:hAnsi="Arial" w:cs="Arial"/>
          <w:sz w:val="24"/>
          <w:szCs w:val="24"/>
          <w:lang w:val="es-ES"/>
        </w:rPr>
      </w:pPr>
      <w:r w:rsidRPr="00331B71">
        <w:rPr>
          <w:rFonts w:ascii="Arial" w:eastAsia="Arial" w:hAnsi="Arial" w:cs="Arial"/>
          <w:sz w:val="24"/>
          <w:szCs w:val="24"/>
          <w:lang w:val="es-ES"/>
        </w:rPr>
        <w:t xml:space="preserve">La baja del </w:t>
      </w:r>
      <w:r w:rsidRPr="00331B71">
        <w:rPr>
          <w:rFonts w:ascii="Arial" w:eastAsia="Arial" w:hAnsi="Arial" w:cs="Arial"/>
          <w:b/>
          <w:bCs/>
          <w:sz w:val="24"/>
          <w:szCs w:val="24"/>
          <w:lang w:val="es-ES"/>
        </w:rPr>
        <w:t>tramo 10-2599-A</w:t>
      </w:r>
      <w:r w:rsidRPr="00331B71">
        <w:rPr>
          <w:rFonts w:ascii="Arial" w:eastAsia="Arial" w:hAnsi="Arial" w:cs="Arial"/>
          <w:sz w:val="24"/>
          <w:szCs w:val="24"/>
          <w:lang w:val="es-ES"/>
        </w:rPr>
        <w:t xml:space="preserve">, correspondiente a la </w:t>
      </w:r>
      <w:r w:rsidRPr="00331B71">
        <w:rPr>
          <w:rFonts w:ascii="Arial" w:eastAsia="Arial" w:hAnsi="Arial" w:cs="Arial"/>
          <w:b/>
          <w:bCs/>
          <w:sz w:val="24"/>
          <w:szCs w:val="24"/>
          <w:lang w:val="es-ES"/>
        </w:rPr>
        <w:t>Escuela Secundaria N.º 13 “Federación Libertad y Fuerza”</w:t>
      </w:r>
      <w:r w:rsidRPr="00331B71">
        <w:rPr>
          <w:rFonts w:ascii="Arial" w:eastAsia="Arial" w:hAnsi="Arial" w:cs="Arial"/>
          <w:sz w:val="24"/>
          <w:szCs w:val="24"/>
          <w:lang w:val="es-ES"/>
        </w:rPr>
        <w:t>, notificada al transportista Sr. Bordón Héctor José con fecha 3 de julio de 2025;</w:t>
      </w:r>
    </w:p>
    <w:p w:rsidR="00331B71" w:rsidRPr="00331B71" w:rsidRDefault="00331B71" w:rsidP="00331B71">
      <w:pPr>
        <w:numPr>
          <w:ilvl w:val="0"/>
          <w:numId w:val="4"/>
        </w:numPr>
        <w:spacing w:before="240" w:after="240" w:line="360" w:lineRule="auto"/>
        <w:jc w:val="both"/>
        <w:rPr>
          <w:rFonts w:ascii="Arial" w:eastAsia="Arial" w:hAnsi="Arial" w:cs="Arial"/>
          <w:sz w:val="24"/>
          <w:szCs w:val="24"/>
          <w:lang w:val="es-ES"/>
        </w:rPr>
      </w:pPr>
      <w:r w:rsidRPr="00331B71">
        <w:rPr>
          <w:rFonts w:ascii="Arial" w:eastAsia="Arial" w:hAnsi="Arial" w:cs="Arial"/>
          <w:sz w:val="24"/>
          <w:szCs w:val="24"/>
          <w:lang w:val="es-ES"/>
        </w:rPr>
        <w:t xml:space="preserve">Y la baja del </w:t>
      </w:r>
      <w:r w:rsidRPr="00331B71">
        <w:rPr>
          <w:rFonts w:ascii="Arial" w:eastAsia="Arial" w:hAnsi="Arial" w:cs="Arial"/>
          <w:b/>
          <w:bCs/>
          <w:sz w:val="24"/>
          <w:szCs w:val="24"/>
          <w:lang w:val="es-ES"/>
        </w:rPr>
        <w:t>tramo 10-1619-A</w:t>
      </w:r>
      <w:r w:rsidRPr="00331B71">
        <w:rPr>
          <w:rFonts w:ascii="Arial" w:eastAsia="Arial" w:hAnsi="Arial" w:cs="Arial"/>
          <w:sz w:val="24"/>
          <w:szCs w:val="24"/>
          <w:lang w:val="es-ES"/>
        </w:rPr>
        <w:t xml:space="preserve">, correspondiente a la </w:t>
      </w:r>
      <w:r w:rsidRPr="00331B71">
        <w:rPr>
          <w:rFonts w:ascii="Arial" w:eastAsia="Arial" w:hAnsi="Arial" w:cs="Arial"/>
          <w:b/>
          <w:bCs/>
          <w:sz w:val="24"/>
          <w:szCs w:val="24"/>
          <w:lang w:val="es-ES"/>
        </w:rPr>
        <w:t>Escuela NINA N.º 9 “Juan Bautista Azopardo” y la Escuela N.º 76 “Maipú”</w:t>
      </w:r>
      <w:r w:rsidRPr="00331B71">
        <w:rPr>
          <w:rFonts w:ascii="Arial" w:eastAsia="Arial" w:hAnsi="Arial" w:cs="Arial"/>
          <w:sz w:val="24"/>
          <w:szCs w:val="24"/>
          <w:lang w:val="es-ES"/>
        </w:rPr>
        <w:t>, notificada a la Sra. Pérez Marisel Inés con fecha 3 de julio de 2025.</w:t>
      </w:r>
    </w:p>
    <w:p w:rsidR="00331B71" w:rsidRPr="00331B71" w:rsidRDefault="00331B71" w:rsidP="00331B71">
      <w:pPr>
        <w:spacing w:before="240" w:after="240" w:line="360" w:lineRule="auto"/>
        <w:ind w:firstLine="1133"/>
        <w:jc w:val="both"/>
        <w:rPr>
          <w:rFonts w:ascii="Arial" w:eastAsia="Arial" w:hAnsi="Arial" w:cs="Arial"/>
          <w:sz w:val="24"/>
          <w:szCs w:val="24"/>
          <w:lang w:val="es-ES"/>
        </w:rPr>
      </w:pPr>
      <w:r w:rsidRPr="00331B71">
        <w:rPr>
          <w:rFonts w:ascii="Arial" w:eastAsia="Arial" w:hAnsi="Arial" w:cs="Arial"/>
          <w:sz w:val="24"/>
          <w:szCs w:val="24"/>
          <w:lang w:val="es-ES"/>
        </w:rPr>
        <w:t xml:space="preserve">Ambas cancelaciones fueron comunicadas en base a lo dispuesto por la </w:t>
      </w:r>
      <w:r w:rsidRPr="00331B71">
        <w:rPr>
          <w:rFonts w:ascii="Arial" w:eastAsia="Arial" w:hAnsi="Arial" w:cs="Arial"/>
          <w:b/>
          <w:bCs/>
          <w:sz w:val="24"/>
          <w:szCs w:val="24"/>
          <w:lang w:val="es-ES"/>
        </w:rPr>
        <w:t>Cláusula Décima Tercera – Terminación Anticipada, apartado f)</w:t>
      </w:r>
      <w:r w:rsidRPr="00331B71">
        <w:rPr>
          <w:rFonts w:ascii="Arial" w:eastAsia="Arial" w:hAnsi="Arial" w:cs="Arial"/>
          <w:sz w:val="24"/>
          <w:szCs w:val="24"/>
          <w:lang w:val="es-ES"/>
        </w:rPr>
        <w:t xml:space="preserve"> del contrato de licitación, por “cambios en la demanda del servicio informados por el Consejo General de Educación”.</w:t>
      </w:r>
    </w:p>
    <w:p w:rsidR="00331B71" w:rsidRPr="00331B71" w:rsidRDefault="00331B71" w:rsidP="00331B71">
      <w:pPr>
        <w:spacing w:before="240" w:after="240" w:line="360" w:lineRule="auto"/>
        <w:ind w:firstLine="1133"/>
        <w:jc w:val="both"/>
        <w:rPr>
          <w:rFonts w:ascii="Arial" w:eastAsia="Arial" w:hAnsi="Arial" w:cs="Arial"/>
          <w:sz w:val="24"/>
          <w:szCs w:val="24"/>
          <w:lang w:val="es-ES"/>
        </w:rPr>
      </w:pPr>
      <w:r w:rsidRPr="00331B71">
        <w:rPr>
          <w:rFonts w:ascii="Arial" w:eastAsia="Arial" w:hAnsi="Arial" w:cs="Arial"/>
          <w:sz w:val="24"/>
          <w:szCs w:val="24"/>
          <w:lang w:val="es-ES"/>
        </w:rPr>
        <w:t xml:space="preserve">Se solicita además evaluar el impacto general de la medida sobre otras instituciones rurales del departamento, como la </w:t>
      </w:r>
      <w:r w:rsidRPr="00331B71">
        <w:rPr>
          <w:rFonts w:ascii="Arial" w:eastAsia="Arial" w:hAnsi="Arial" w:cs="Arial"/>
          <w:b/>
          <w:bCs/>
          <w:sz w:val="24"/>
          <w:szCs w:val="24"/>
          <w:lang w:val="es-ES"/>
        </w:rPr>
        <w:t>Escuela Agrotécnica N.º 151 “El Quebracho”</w:t>
      </w:r>
      <w:r w:rsidRPr="00331B71">
        <w:rPr>
          <w:rFonts w:ascii="Arial" w:eastAsia="Arial" w:hAnsi="Arial" w:cs="Arial"/>
          <w:sz w:val="24"/>
          <w:szCs w:val="24"/>
          <w:lang w:val="es-ES"/>
        </w:rPr>
        <w:t xml:space="preserve"> y la </w:t>
      </w:r>
      <w:r w:rsidRPr="00331B71">
        <w:rPr>
          <w:rFonts w:ascii="Arial" w:eastAsia="Arial" w:hAnsi="Arial" w:cs="Arial"/>
          <w:b/>
          <w:bCs/>
          <w:sz w:val="24"/>
          <w:szCs w:val="24"/>
          <w:lang w:val="es-ES"/>
        </w:rPr>
        <w:t>Escuela Agrotécnica N.º 15 “Manuel P. Antequeda”</w:t>
      </w:r>
      <w:r w:rsidRPr="00331B71">
        <w:rPr>
          <w:rFonts w:ascii="Arial" w:eastAsia="Arial" w:hAnsi="Arial" w:cs="Arial"/>
          <w:sz w:val="24"/>
          <w:szCs w:val="24"/>
          <w:lang w:val="es-ES"/>
        </w:rPr>
        <w:t>, que se encuentran en riesgo de sufrir reducciones similares, generando un efecto de expulsión escolar encubierta.</w:t>
      </w:r>
    </w:p>
    <w:p w:rsidR="003F19C7" w:rsidRPr="003F19C7" w:rsidRDefault="003F19C7" w:rsidP="003F19C7">
      <w:pPr>
        <w:spacing w:before="240" w:after="240" w:line="360" w:lineRule="auto"/>
        <w:ind w:firstLine="1133"/>
        <w:jc w:val="center"/>
        <w:rPr>
          <w:rFonts w:ascii="Arial" w:eastAsia="Arial" w:hAnsi="Arial" w:cs="Arial"/>
          <w:b/>
          <w:bCs/>
          <w:sz w:val="24"/>
          <w:szCs w:val="24"/>
        </w:rPr>
      </w:pPr>
      <w:r w:rsidRPr="003F19C7">
        <w:rPr>
          <w:rFonts w:ascii="Arial" w:eastAsia="Arial" w:hAnsi="Arial" w:cs="Arial"/>
          <w:b/>
          <w:bCs/>
          <w:sz w:val="24"/>
          <w:szCs w:val="24"/>
        </w:rPr>
        <w:lastRenderedPageBreak/>
        <w:t>FUNDAMENTOS</w:t>
      </w:r>
    </w:p>
    <w:p w:rsidR="00331B71" w:rsidRPr="00331B71" w:rsidRDefault="00331B71" w:rsidP="00331B71">
      <w:pPr>
        <w:spacing w:before="200" w:after="240" w:line="276" w:lineRule="auto"/>
        <w:ind w:firstLine="720"/>
        <w:jc w:val="both"/>
        <w:rPr>
          <w:rFonts w:ascii="Arial" w:eastAsia="Arial" w:hAnsi="Arial" w:cs="Arial"/>
          <w:sz w:val="24"/>
          <w:szCs w:val="24"/>
          <w:lang w:val="es-ES"/>
        </w:rPr>
      </w:pPr>
      <w:r w:rsidRPr="00331B71">
        <w:rPr>
          <w:rFonts w:ascii="Arial" w:eastAsia="Arial" w:hAnsi="Arial" w:cs="Arial"/>
          <w:sz w:val="24"/>
          <w:szCs w:val="24"/>
          <w:lang w:val="es-ES"/>
        </w:rPr>
        <w:t xml:space="preserve">El </w:t>
      </w:r>
      <w:r w:rsidRPr="00331B71">
        <w:rPr>
          <w:rFonts w:ascii="Arial" w:eastAsia="Arial" w:hAnsi="Arial" w:cs="Arial"/>
          <w:b/>
          <w:bCs/>
          <w:sz w:val="24"/>
          <w:szCs w:val="24"/>
          <w:lang w:val="es-ES"/>
        </w:rPr>
        <w:t>transporte escolar rural es un derecho habilitante</w:t>
      </w:r>
      <w:r w:rsidRPr="00331B71">
        <w:rPr>
          <w:rFonts w:ascii="Arial" w:eastAsia="Arial" w:hAnsi="Arial" w:cs="Arial"/>
          <w:sz w:val="24"/>
          <w:szCs w:val="24"/>
          <w:lang w:val="es-ES"/>
        </w:rPr>
        <w:t xml:space="preserve">, no una variable prescindible. En comunidades donde no existen líneas de transporte público ni caminos accesibles a pie, el colectivo escolar es el único medio que garantiza la asistencia diaria a clase. Suprimirlo equivale, en los hechos, a </w:t>
      </w:r>
      <w:r w:rsidRPr="00331B71">
        <w:rPr>
          <w:rFonts w:ascii="Arial" w:eastAsia="Arial" w:hAnsi="Arial" w:cs="Arial"/>
          <w:b/>
          <w:bCs/>
          <w:sz w:val="24"/>
          <w:szCs w:val="24"/>
          <w:lang w:val="es-ES"/>
        </w:rPr>
        <w:t>expulsar del sistema educativo a decenas de estudiantes rurales</w:t>
      </w:r>
      <w:r w:rsidRPr="00331B71">
        <w:rPr>
          <w:rFonts w:ascii="Arial" w:eastAsia="Arial" w:hAnsi="Arial" w:cs="Arial"/>
          <w:sz w:val="24"/>
          <w:szCs w:val="24"/>
          <w:lang w:val="es-ES"/>
        </w:rPr>
        <w:t>.</w:t>
      </w:r>
    </w:p>
    <w:p w:rsidR="00331B71" w:rsidRPr="00331B71" w:rsidRDefault="00331B71" w:rsidP="00331B71">
      <w:pPr>
        <w:spacing w:before="200" w:after="240" w:line="276" w:lineRule="auto"/>
        <w:ind w:firstLine="720"/>
        <w:jc w:val="both"/>
        <w:rPr>
          <w:rFonts w:ascii="Arial" w:eastAsia="Arial" w:hAnsi="Arial" w:cs="Arial"/>
          <w:sz w:val="24"/>
          <w:szCs w:val="24"/>
          <w:lang w:val="es-ES"/>
        </w:rPr>
      </w:pPr>
      <w:r w:rsidRPr="00331B71">
        <w:rPr>
          <w:rFonts w:ascii="Arial" w:eastAsia="Arial" w:hAnsi="Arial" w:cs="Arial"/>
          <w:sz w:val="24"/>
          <w:szCs w:val="24"/>
          <w:lang w:val="es-ES"/>
        </w:rPr>
        <w:t xml:space="preserve">Las tres bajas notificadas en el Departamento La Paz afectan a </w:t>
      </w:r>
      <w:r w:rsidRPr="00331B71">
        <w:rPr>
          <w:rFonts w:ascii="Arial" w:eastAsia="Arial" w:hAnsi="Arial" w:cs="Arial"/>
          <w:b/>
          <w:bCs/>
          <w:sz w:val="24"/>
          <w:szCs w:val="24"/>
          <w:lang w:val="es-ES"/>
        </w:rPr>
        <w:t>únicas instituciones educativas en sus respectivas zonas</w:t>
      </w:r>
      <w:r w:rsidRPr="00331B71">
        <w:rPr>
          <w:rFonts w:ascii="Arial" w:eastAsia="Arial" w:hAnsi="Arial" w:cs="Arial"/>
          <w:sz w:val="24"/>
          <w:szCs w:val="24"/>
          <w:lang w:val="es-ES"/>
        </w:rPr>
        <w:t xml:space="preserve">. En el caso de la Escuela Secundaria N.º 13 “Federación Libertad y Fuerza”, se trata de una institución de trayectoria consolidada, que integra programas como la </w:t>
      </w:r>
      <w:r w:rsidRPr="00331B71">
        <w:rPr>
          <w:rFonts w:ascii="Arial" w:eastAsia="Arial" w:hAnsi="Arial" w:cs="Arial"/>
          <w:b/>
          <w:bCs/>
          <w:sz w:val="24"/>
          <w:szCs w:val="24"/>
          <w:lang w:val="es-ES"/>
        </w:rPr>
        <w:t>Red de Escuelas que Transforman</w:t>
      </w:r>
      <w:r w:rsidRPr="00331B71">
        <w:rPr>
          <w:rFonts w:ascii="Arial" w:eastAsia="Arial" w:hAnsi="Arial" w:cs="Arial"/>
          <w:sz w:val="24"/>
          <w:szCs w:val="24"/>
          <w:lang w:val="es-ES"/>
        </w:rPr>
        <w:t xml:space="preserve">, el </w:t>
      </w:r>
      <w:r w:rsidRPr="00331B71">
        <w:rPr>
          <w:rFonts w:ascii="Arial" w:eastAsia="Arial" w:hAnsi="Arial" w:cs="Arial"/>
          <w:b/>
          <w:bCs/>
          <w:sz w:val="24"/>
          <w:szCs w:val="24"/>
          <w:lang w:val="es-ES"/>
        </w:rPr>
        <w:t>Senado Juvenil</w:t>
      </w:r>
      <w:r w:rsidRPr="00331B71">
        <w:rPr>
          <w:rFonts w:ascii="Arial" w:eastAsia="Arial" w:hAnsi="Arial" w:cs="Arial"/>
          <w:sz w:val="24"/>
          <w:szCs w:val="24"/>
          <w:lang w:val="es-ES"/>
        </w:rPr>
        <w:t xml:space="preserve">, la </w:t>
      </w:r>
      <w:r w:rsidRPr="00331B71">
        <w:rPr>
          <w:rFonts w:ascii="Arial" w:eastAsia="Arial" w:hAnsi="Arial" w:cs="Arial"/>
          <w:b/>
          <w:bCs/>
          <w:sz w:val="24"/>
          <w:szCs w:val="24"/>
          <w:lang w:val="es-ES"/>
        </w:rPr>
        <w:t>Maratón de Lectura</w:t>
      </w:r>
      <w:r w:rsidRPr="00331B71">
        <w:rPr>
          <w:rFonts w:ascii="Arial" w:eastAsia="Arial" w:hAnsi="Arial" w:cs="Arial"/>
          <w:sz w:val="24"/>
          <w:szCs w:val="24"/>
          <w:lang w:val="es-ES"/>
        </w:rPr>
        <w:t xml:space="preserve">, la </w:t>
      </w:r>
      <w:r w:rsidRPr="00331B71">
        <w:rPr>
          <w:rFonts w:ascii="Arial" w:eastAsia="Arial" w:hAnsi="Arial" w:cs="Arial"/>
          <w:b/>
          <w:bCs/>
          <w:sz w:val="24"/>
          <w:szCs w:val="24"/>
          <w:lang w:val="es-ES"/>
        </w:rPr>
        <w:t>Feria de Ciencias</w:t>
      </w:r>
      <w:r w:rsidRPr="00331B71">
        <w:rPr>
          <w:rFonts w:ascii="Arial" w:eastAsia="Arial" w:hAnsi="Arial" w:cs="Arial"/>
          <w:sz w:val="24"/>
          <w:szCs w:val="24"/>
          <w:lang w:val="es-ES"/>
        </w:rPr>
        <w:t xml:space="preserve">, las </w:t>
      </w:r>
      <w:r w:rsidRPr="00331B71">
        <w:rPr>
          <w:rFonts w:ascii="Arial" w:eastAsia="Arial" w:hAnsi="Arial" w:cs="Arial"/>
          <w:b/>
          <w:bCs/>
          <w:sz w:val="24"/>
          <w:szCs w:val="24"/>
          <w:lang w:val="es-ES"/>
        </w:rPr>
        <w:t>Olimpíadas Matemáticas</w:t>
      </w:r>
      <w:r w:rsidRPr="00331B71">
        <w:rPr>
          <w:rFonts w:ascii="Arial" w:eastAsia="Arial" w:hAnsi="Arial" w:cs="Arial"/>
          <w:sz w:val="24"/>
          <w:szCs w:val="24"/>
          <w:lang w:val="es-ES"/>
        </w:rPr>
        <w:t xml:space="preserve"> y el </w:t>
      </w:r>
      <w:r w:rsidRPr="00331B71">
        <w:rPr>
          <w:rFonts w:ascii="Arial" w:eastAsia="Arial" w:hAnsi="Arial" w:cs="Arial"/>
          <w:b/>
          <w:bCs/>
          <w:sz w:val="24"/>
          <w:szCs w:val="24"/>
          <w:lang w:val="es-ES"/>
        </w:rPr>
        <w:t>Programa Escuela-Comunidad</w:t>
      </w:r>
      <w:r w:rsidRPr="00331B71">
        <w:rPr>
          <w:rFonts w:ascii="Arial" w:eastAsia="Arial" w:hAnsi="Arial" w:cs="Arial"/>
          <w:sz w:val="24"/>
          <w:szCs w:val="24"/>
          <w:lang w:val="es-ES"/>
        </w:rPr>
        <w:t>, entre otros. La reducción de transporte dejaría sin clases a estudiantes que viven en áreas rurales dispersas, sin alternativas de traslado.</w:t>
      </w:r>
    </w:p>
    <w:p w:rsidR="00331B71" w:rsidRPr="00331B71" w:rsidRDefault="00331B71" w:rsidP="00331B71">
      <w:pPr>
        <w:spacing w:before="200" w:after="240" w:line="276" w:lineRule="auto"/>
        <w:ind w:firstLine="720"/>
        <w:jc w:val="both"/>
        <w:rPr>
          <w:rFonts w:ascii="Arial" w:eastAsia="Arial" w:hAnsi="Arial" w:cs="Arial"/>
          <w:sz w:val="24"/>
          <w:szCs w:val="24"/>
          <w:lang w:val="es-ES"/>
        </w:rPr>
      </w:pPr>
      <w:r w:rsidRPr="00331B71">
        <w:rPr>
          <w:rFonts w:ascii="Arial" w:eastAsia="Arial" w:hAnsi="Arial" w:cs="Arial"/>
          <w:sz w:val="24"/>
          <w:szCs w:val="24"/>
          <w:lang w:val="es-ES"/>
        </w:rPr>
        <w:t xml:space="preserve">Respecto a la </w:t>
      </w:r>
      <w:r w:rsidRPr="00331B71">
        <w:rPr>
          <w:rFonts w:ascii="Arial" w:eastAsia="Arial" w:hAnsi="Arial" w:cs="Arial"/>
          <w:b/>
          <w:bCs/>
          <w:sz w:val="24"/>
          <w:szCs w:val="24"/>
          <w:lang w:val="es-ES"/>
        </w:rPr>
        <w:t>Escuela NINA N.º 9 “Juan Bautista Azopardo”</w:t>
      </w:r>
      <w:r w:rsidRPr="00331B71">
        <w:rPr>
          <w:rFonts w:ascii="Arial" w:eastAsia="Arial" w:hAnsi="Arial" w:cs="Arial"/>
          <w:sz w:val="24"/>
          <w:szCs w:val="24"/>
          <w:lang w:val="es-ES"/>
        </w:rPr>
        <w:t xml:space="preserve"> y la </w:t>
      </w:r>
      <w:r w:rsidRPr="00331B71">
        <w:rPr>
          <w:rFonts w:ascii="Arial" w:eastAsia="Arial" w:hAnsi="Arial" w:cs="Arial"/>
          <w:b/>
          <w:bCs/>
          <w:sz w:val="24"/>
          <w:szCs w:val="24"/>
          <w:lang w:val="es-ES"/>
        </w:rPr>
        <w:t>Escuela N.º 76 “Maipú”</w:t>
      </w:r>
      <w:r w:rsidRPr="00331B71">
        <w:rPr>
          <w:rFonts w:ascii="Arial" w:eastAsia="Arial" w:hAnsi="Arial" w:cs="Arial"/>
          <w:sz w:val="24"/>
          <w:szCs w:val="24"/>
          <w:lang w:val="es-ES"/>
        </w:rPr>
        <w:t xml:space="preserve">, ambas ubicadas en la ciudad de </w:t>
      </w:r>
      <w:r w:rsidRPr="00331B71">
        <w:rPr>
          <w:rFonts w:ascii="Arial" w:eastAsia="Arial" w:hAnsi="Arial" w:cs="Arial"/>
          <w:b/>
          <w:bCs/>
          <w:sz w:val="24"/>
          <w:szCs w:val="24"/>
          <w:lang w:val="es-ES"/>
        </w:rPr>
        <w:t>Santa Elena</w:t>
      </w:r>
      <w:r w:rsidRPr="00331B71">
        <w:rPr>
          <w:rFonts w:ascii="Arial" w:eastAsia="Arial" w:hAnsi="Arial" w:cs="Arial"/>
          <w:sz w:val="24"/>
          <w:szCs w:val="24"/>
          <w:lang w:val="es-ES"/>
        </w:rPr>
        <w:t xml:space="preserve">, las consecuencias son igualmente alarmantes: la </w:t>
      </w:r>
      <w:r w:rsidRPr="00331B71">
        <w:rPr>
          <w:rFonts w:ascii="Arial" w:eastAsia="Arial" w:hAnsi="Arial" w:cs="Arial"/>
          <w:b/>
          <w:bCs/>
          <w:sz w:val="24"/>
          <w:szCs w:val="24"/>
          <w:lang w:val="es-ES"/>
        </w:rPr>
        <w:t>planilla oficial presentada ante el INAUBEPRO en mayo de 2025</w:t>
      </w:r>
      <w:r w:rsidRPr="00331B71">
        <w:rPr>
          <w:rFonts w:ascii="Arial" w:eastAsia="Arial" w:hAnsi="Arial" w:cs="Arial"/>
          <w:sz w:val="24"/>
          <w:szCs w:val="24"/>
          <w:lang w:val="es-ES"/>
        </w:rPr>
        <w:t xml:space="preserve"> da cuenta de al menos </w:t>
      </w:r>
      <w:r w:rsidRPr="00331B71">
        <w:rPr>
          <w:rFonts w:ascii="Arial" w:eastAsia="Arial" w:hAnsi="Arial" w:cs="Arial"/>
          <w:b/>
          <w:bCs/>
          <w:sz w:val="24"/>
          <w:szCs w:val="24"/>
          <w:lang w:val="es-ES"/>
        </w:rPr>
        <w:t>125 niños y niñas</w:t>
      </w:r>
      <w:r w:rsidRPr="00331B71">
        <w:rPr>
          <w:rFonts w:ascii="Arial" w:eastAsia="Arial" w:hAnsi="Arial" w:cs="Arial"/>
          <w:sz w:val="24"/>
          <w:szCs w:val="24"/>
          <w:lang w:val="es-ES"/>
        </w:rPr>
        <w:t xml:space="preserve"> transportados diariamente desde barrios periféricos y sectores vulnerables como 25 de Mayo, Hipólito Yrigoyen, Martín García, Cuarteles, Fátima, Cristo Redentor, Chaco, Independiente, Santa Rita y otros. La mayoría de estos alumnos </w:t>
      </w:r>
      <w:r w:rsidRPr="00331B71">
        <w:rPr>
          <w:rFonts w:ascii="Arial" w:eastAsia="Arial" w:hAnsi="Arial" w:cs="Arial"/>
          <w:b/>
          <w:bCs/>
          <w:sz w:val="24"/>
          <w:szCs w:val="24"/>
          <w:lang w:val="es-ES"/>
        </w:rPr>
        <w:t>no finaliza su trayectoria en 2025</w:t>
      </w:r>
      <w:r w:rsidRPr="00331B71">
        <w:rPr>
          <w:rFonts w:ascii="Arial" w:eastAsia="Arial" w:hAnsi="Arial" w:cs="Arial"/>
          <w:sz w:val="24"/>
          <w:szCs w:val="24"/>
          <w:lang w:val="es-ES"/>
        </w:rPr>
        <w:t>, lo cual desmiente el argumento de “cambio de demanda”.</w:t>
      </w:r>
    </w:p>
    <w:p w:rsidR="00331B71" w:rsidRPr="00331B71" w:rsidRDefault="00331B71" w:rsidP="00331B71">
      <w:pPr>
        <w:spacing w:before="200" w:after="240" w:line="276" w:lineRule="auto"/>
        <w:ind w:firstLine="720"/>
        <w:jc w:val="both"/>
        <w:rPr>
          <w:rFonts w:ascii="Arial" w:eastAsia="Arial" w:hAnsi="Arial" w:cs="Arial"/>
          <w:sz w:val="24"/>
          <w:szCs w:val="24"/>
          <w:lang w:val="es-ES"/>
        </w:rPr>
      </w:pPr>
      <w:r w:rsidRPr="00331B71">
        <w:rPr>
          <w:rFonts w:ascii="Arial" w:eastAsia="Arial" w:hAnsi="Arial" w:cs="Arial"/>
          <w:sz w:val="24"/>
          <w:szCs w:val="24"/>
          <w:lang w:val="es-ES"/>
        </w:rPr>
        <w:t xml:space="preserve">Las implicancias de esta medida vulneran </w:t>
      </w:r>
      <w:r w:rsidRPr="00331B71">
        <w:rPr>
          <w:rFonts w:ascii="Arial" w:eastAsia="Arial" w:hAnsi="Arial" w:cs="Arial"/>
          <w:b/>
          <w:bCs/>
          <w:sz w:val="24"/>
          <w:szCs w:val="24"/>
          <w:lang w:val="es-ES"/>
        </w:rPr>
        <w:t>normas de rango constitucional y legal</w:t>
      </w:r>
      <w:r w:rsidRPr="00331B71">
        <w:rPr>
          <w:rFonts w:ascii="Arial" w:eastAsia="Arial" w:hAnsi="Arial" w:cs="Arial"/>
          <w:sz w:val="24"/>
          <w:szCs w:val="24"/>
          <w:lang w:val="es-ES"/>
        </w:rPr>
        <w:t>:</w:t>
      </w:r>
    </w:p>
    <w:p w:rsidR="00331B71" w:rsidRPr="00331B71" w:rsidRDefault="00331B71" w:rsidP="00331B71">
      <w:pPr>
        <w:spacing w:before="200" w:after="240" w:line="276" w:lineRule="auto"/>
        <w:ind w:firstLine="720"/>
        <w:jc w:val="both"/>
        <w:rPr>
          <w:rFonts w:ascii="Arial" w:eastAsia="Arial" w:hAnsi="Arial" w:cs="Arial"/>
          <w:sz w:val="24"/>
          <w:szCs w:val="24"/>
          <w:lang w:val="es-ES"/>
        </w:rPr>
      </w:pPr>
      <w:r w:rsidRPr="00331B71">
        <w:rPr>
          <w:rFonts w:ascii="Arial" w:eastAsia="Arial" w:hAnsi="Arial" w:cs="Arial"/>
          <w:sz w:val="24"/>
          <w:szCs w:val="24"/>
          <w:lang w:val="es-ES"/>
        </w:rPr>
        <w:t xml:space="preserve">🔹 La </w:t>
      </w:r>
      <w:r w:rsidRPr="00331B71">
        <w:rPr>
          <w:rFonts w:ascii="Arial" w:eastAsia="Arial" w:hAnsi="Arial" w:cs="Arial"/>
          <w:b/>
          <w:bCs/>
          <w:sz w:val="24"/>
          <w:szCs w:val="24"/>
          <w:lang w:val="es-ES"/>
        </w:rPr>
        <w:t>Constitución de la Provincia de Entre Ríos</w:t>
      </w:r>
      <w:r w:rsidRPr="00331B71">
        <w:rPr>
          <w:rFonts w:ascii="Arial" w:eastAsia="Arial" w:hAnsi="Arial" w:cs="Arial"/>
          <w:sz w:val="24"/>
          <w:szCs w:val="24"/>
          <w:lang w:val="es-ES"/>
        </w:rPr>
        <w:t>, en su:</w:t>
      </w:r>
    </w:p>
    <w:p w:rsidR="00331B71" w:rsidRPr="00331B71" w:rsidRDefault="00331B71" w:rsidP="00331B71">
      <w:pPr>
        <w:numPr>
          <w:ilvl w:val="0"/>
          <w:numId w:val="2"/>
        </w:numPr>
        <w:spacing w:before="200" w:after="240" w:line="276" w:lineRule="auto"/>
        <w:jc w:val="both"/>
        <w:rPr>
          <w:rFonts w:ascii="Arial" w:eastAsia="Arial" w:hAnsi="Arial" w:cs="Arial"/>
          <w:sz w:val="24"/>
          <w:szCs w:val="24"/>
          <w:lang w:val="es-ES"/>
        </w:rPr>
      </w:pPr>
      <w:r w:rsidRPr="00331B71">
        <w:rPr>
          <w:rFonts w:ascii="Arial" w:eastAsia="Arial" w:hAnsi="Arial" w:cs="Arial"/>
          <w:b/>
          <w:bCs/>
          <w:sz w:val="24"/>
          <w:szCs w:val="24"/>
          <w:lang w:val="es-ES"/>
        </w:rPr>
        <w:t>Artículo 258</w:t>
      </w:r>
      <w:r w:rsidRPr="00331B71">
        <w:rPr>
          <w:rFonts w:ascii="Arial" w:eastAsia="Arial" w:hAnsi="Arial" w:cs="Arial"/>
          <w:sz w:val="24"/>
          <w:szCs w:val="24"/>
          <w:lang w:val="es-ES"/>
        </w:rPr>
        <w:t>, establece el derecho a la educación con “</w:t>
      </w:r>
      <w:r w:rsidRPr="00331B71">
        <w:rPr>
          <w:rFonts w:ascii="Arial" w:eastAsia="Arial" w:hAnsi="Arial" w:cs="Arial"/>
          <w:b/>
          <w:bCs/>
          <w:sz w:val="24"/>
          <w:szCs w:val="24"/>
          <w:lang w:val="es-ES"/>
        </w:rPr>
        <w:t>equidad territorial y justicia educativa</w:t>
      </w:r>
      <w:r w:rsidRPr="00331B71">
        <w:rPr>
          <w:rFonts w:ascii="Arial" w:eastAsia="Arial" w:hAnsi="Arial" w:cs="Arial"/>
          <w:sz w:val="24"/>
          <w:szCs w:val="24"/>
          <w:lang w:val="es-ES"/>
        </w:rPr>
        <w:t>”, y obliga al Estado a garantizarla “</w:t>
      </w:r>
      <w:r w:rsidRPr="00331B71">
        <w:rPr>
          <w:rFonts w:ascii="Arial" w:eastAsia="Arial" w:hAnsi="Arial" w:cs="Arial"/>
          <w:b/>
          <w:bCs/>
          <w:sz w:val="24"/>
          <w:szCs w:val="24"/>
          <w:lang w:val="es-ES"/>
        </w:rPr>
        <w:t>sin discriminación alguna</w:t>
      </w:r>
      <w:r w:rsidRPr="00331B71">
        <w:rPr>
          <w:rFonts w:ascii="Arial" w:eastAsia="Arial" w:hAnsi="Arial" w:cs="Arial"/>
          <w:sz w:val="24"/>
          <w:szCs w:val="24"/>
          <w:lang w:val="es-ES"/>
        </w:rPr>
        <w:t>”.</w:t>
      </w:r>
    </w:p>
    <w:p w:rsidR="00331B71" w:rsidRPr="00331B71" w:rsidRDefault="00331B71" w:rsidP="00331B71">
      <w:pPr>
        <w:numPr>
          <w:ilvl w:val="0"/>
          <w:numId w:val="2"/>
        </w:numPr>
        <w:spacing w:before="200" w:after="240" w:line="276" w:lineRule="auto"/>
        <w:jc w:val="both"/>
        <w:rPr>
          <w:rFonts w:ascii="Arial" w:eastAsia="Arial" w:hAnsi="Arial" w:cs="Arial"/>
          <w:sz w:val="24"/>
          <w:szCs w:val="24"/>
          <w:lang w:val="es-ES"/>
        </w:rPr>
      </w:pPr>
      <w:r w:rsidRPr="00331B71">
        <w:rPr>
          <w:rFonts w:ascii="Arial" w:eastAsia="Arial" w:hAnsi="Arial" w:cs="Arial"/>
          <w:b/>
          <w:bCs/>
          <w:sz w:val="24"/>
          <w:szCs w:val="24"/>
          <w:lang w:val="es-ES"/>
        </w:rPr>
        <w:t>Artículo 17</w:t>
      </w:r>
      <w:r w:rsidRPr="00331B71">
        <w:rPr>
          <w:rFonts w:ascii="Arial" w:eastAsia="Arial" w:hAnsi="Arial" w:cs="Arial"/>
          <w:sz w:val="24"/>
          <w:szCs w:val="24"/>
          <w:lang w:val="es-ES"/>
        </w:rPr>
        <w:t xml:space="preserve">, dispone que el Estado debe </w:t>
      </w:r>
      <w:r w:rsidRPr="00331B71">
        <w:rPr>
          <w:rFonts w:ascii="Arial" w:eastAsia="Arial" w:hAnsi="Arial" w:cs="Arial"/>
          <w:b/>
          <w:bCs/>
          <w:sz w:val="24"/>
          <w:szCs w:val="24"/>
          <w:lang w:val="es-ES"/>
        </w:rPr>
        <w:t>remover obstáculos</w:t>
      </w:r>
      <w:r w:rsidRPr="00331B71">
        <w:rPr>
          <w:rFonts w:ascii="Arial" w:eastAsia="Arial" w:hAnsi="Arial" w:cs="Arial"/>
          <w:sz w:val="24"/>
          <w:szCs w:val="24"/>
          <w:lang w:val="es-ES"/>
        </w:rPr>
        <w:t xml:space="preserve"> económicos, sociales o geográficos que impidan la igualdad real.</w:t>
      </w:r>
    </w:p>
    <w:p w:rsidR="00331B71" w:rsidRPr="00331B71" w:rsidRDefault="00331B71" w:rsidP="00331B71">
      <w:pPr>
        <w:numPr>
          <w:ilvl w:val="0"/>
          <w:numId w:val="2"/>
        </w:numPr>
        <w:spacing w:before="200" w:after="240" w:line="276" w:lineRule="auto"/>
        <w:jc w:val="both"/>
        <w:rPr>
          <w:rFonts w:ascii="Arial" w:eastAsia="Arial" w:hAnsi="Arial" w:cs="Arial"/>
          <w:sz w:val="24"/>
          <w:szCs w:val="24"/>
          <w:lang w:val="es-ES"/>
        </w:rPr>
      </w:pPr>
      <w:r w:rsidRPr="00331B71">
        <w:rPr>
          <w:rFonts w:ascii="Arial" w:eastAsia="Arial" w:hAnsi="Arial" w:cs="Arial"/>
          <w:b/>
          <w:bCs/>
          <w:sz w:val="24"/>
          <w:szCs w:val="24"/>
          <w:lang w:val="es-ES"/>
        </w:rPr>
        <w:t>Artículo 22</w:t>
      </w:r>
      <w:r w:rsidRPr="00331B71">
        <w:rPr>
          <w:rFonts w:ascii="Arial" w:eastAsia="Arial" w:hAnsi="Arial" w:cs="Arial"/>
          <w:sz w:val="24"/>
          <w:szCs w:val="24"/>
          <w:lang w:val="es-ES"/>
        </w:rPr>
        <w:t>, consagra la responsabilidad indelegable del Estado en la garantía de derechos sociales y en la inclusión.</w:t>
      </w:r>
    </w:p>
    <w:p w:rsidR="00331B71" w:rsidRPr="00331B71" w:rsidRDefault="00331B71" w:rsidP="00331B71">
      <w:pPr>
        <w:numPr>
          <w:ilvl w:val="0"/>
          <w:numId w:val="2"/>
        </w:numPr>
        <w:spacing w:before="200" w:after="240" w:line="276" w:lineRule="auto"/>
        <w:jc w:val="both"/>
        <w:rPr>
          <w:rFonts w:ascii="Arial" w:eastAsia="Arial" w:hAnsi="Arial" w:cs="Arial"/>
          <w:sz w:val="24"/>
          <w:szCs w:val="24"/>
          <w:lang w:val="es-ES"/>
        </w:rPr>
      </w:pPr>
      <w:r w:rsidRPr="00331B71">
        <w:rPr>
          <w:rFonts w:ascii="Arial" w:eastAsia="Arial" w:hAnsi="Arial" w:cs="Arial"/>
          <w:b/>
          <w:bCs/>
          <w:sz w:val="24"/>
          <w:szCs w:val="24"/>
          <w:lang w:val="es-ES"/>
        </w:rPr>
        <w:lastRenderedPageBreak/>
        <w:t>Artículo 259</w:t>
      </w:r>
      <w:r w:rsidRPr="00331B71">
        <w:rPr>
          <w:rFonts w:ascii="Arial" w:eastAsia="Arial" w:hAnsi="Arial" w:cs="Arial"/>
          <w:sz w:val="24"/>
          <w:szCs w:val="24"/>
          <w:lang w:val="es-ES"/>
        </w:rPr>
        <w:t xml:space="preserve">, reconoce a la educación como </w:t>
      </w:r>
      <w:r w:rsidRPr="00331B71">
        <w:rPr>
          <w:rFonts w:ascii="Arial" w:eastAsia="Arial" w:hAnsi="Arial" w:cs="Arial"/>
          <w:b/>
          <w:bCs/>
          <w:sz w:val="24"/>
          <w:szCs w:val="24"/>
          <w:lang w:val="es-ES"/>
        </w:rPr>
        <w:t>prioridad estratégica de la política estatal.</w:t>
      </w:r>
    </w:p>
    <w:p w:rsidR="00331B71" w:rsidRPr="00331B71" w:rsidRDefault="00331B71" w:rsidP="00331B71">
      <w:pPr>
        <w:spacing w:before="200" w:after="240" w:line="276" w:lineRule="auto"/>
        <w:ind w:firstLine="720"/>
        <w:jc w:val="both"/>
        <w:rPr>
          <w:rFonts w:ascii="Arial" w:eastAsia="Arial" w:hAnsi="Arial" w:cs="Arial"/>
          <w:sz w:val="24"/>
          <w:szCs w:val="24"/>
          <w:lang w:val="es-ES"/>
        </w:rPr>
      </w:pPr>
      <w:r w:rsidRPr="00331B71">
        <w:rPr>
          <w:rFonts w:ascii="Arial" w:eastAsia="Arial" w:hAnsi="Arial" w:cs="Arial"/>
          <w:sz w:val="24"/>
          <w:szCs w:val="24"/>
          <w:lang w:val="es-ES"/>
        </w:rPr>
        <w:t xml:space="preserve">🔹 La </w:t>
      </w:r>
      <w:r w:rsidRPr="00331B71">
        <w:rPr>
          <w:rFonts w:ascii="Arial" w:eastAsia="Arial" w:hAnsi="Arial" w:cs="Arial"/>
          <w:b/>
          <w:bCs/>
          <w:sz w:val="24"/>
          <w:szCs w:val="24"/>
          <w:lang w:val="es-ES"/>
        </w:rPr>
        <w:t>Ley Nacional de Educación N.º 26.206</w:t>
      </w:r>
      <w:r w:rsidRPr="00331B71">
        <w:rPr>
          <w:rFonts w:ascii="Arial" w:eastAsia="Arial" w:hAnsi="Arial" w:cs="Arial"/>
          <w:sz w:val="24"/>
          <w:szCs w:val="24"/>
          <w:lang w:val="es-ES"/>
        </w:rPr>
        <w:t>, en su:</w:t>
      </w:r>
    </w:p>
    <w:p w:rsidR="00331B71" w:rsidRPr="00331B71" w:rsidRDefault="00331B71" w:rsidP="00331B71">
      <w:pPr>
        <w:numPr>
          <w:ilvl w:val="0"/>
          <w:numId w:val="3"/>
        </w:numPr>
        <w:spacing w:before="200" w:after="240" w:line="276" w:lineRule="auto"/>
        <w:jc w:val="both"/>
        <w:rPr>
          <w:rFonts w:ascii="Arial" w:eastAsia="Arial" w:hAnsi="Arial" w:cs="Arial"/>
          <w:sz w:val="24"/>
          <w:szCs w:val="24"/>
          <w:lang w:val="es-ES"/>
        </w:rPr>
      </w:pPr>
      <w:r w:rsidRPr="00331B71">
        <w:rPr>
          <w:rFonts w:ascii="Arial" w:eastAsia="Arial" w:hAnsi="Arial" w:cs="Arial"/>
          <w:b/>
          <w:bCs/>
          <w:sz w:val="24"/>
          <w:szCs w:val="24"/>
          <w:lang w:val="es-ES"/>
        </w:rPr>
        <w:t>Artículo 11, inciso c)</w:t>
      </w:r>
      <w:r w:rsidRPr="00331B71">
        <w:rPr>
          <w:rFonts w:ascii="Arial" w:eastAsia="Arial" w:hAnsi="Arial" w:cs="Arial"/>
          <w:sz w:val="24"/>
          <w:szCs w:val="24"/>
          <w:lang w:val="es-ES"/>
        </w:rPr>
        <w:t>: garantiza la igualdad en el ingreso, permanencia y egreso de los estudiantes.</w:t>
      </w:r>
    </w:p>
    <w:p w:rsidR="00331B71" w:rsidRPr="00331B71" w:rsidRDefault="00331B71" w:rsidP="00331B71">
      <w:pPr>
        <w:numPr>
          <w:ilvl w:val="0"/>
          <w:numId w:val="3"/>
        </w:numPr>
        <w:spacing w:before="200" w:after="240" w:line="276" w:lineRule="auto"/>
        <w:jc w:val="both"/>
        <w:rPr>
          <w:rFonts w:ascii="Arial" w:eastAsia="Arial" w:hAnsi="Arial" w:cs="Arial"/>
          <w:sz w:val="24"/>
          <w:szCs w:val="24"/>
          <w:lang w:val="es-ES"/>
        </w:rPr>
      </w:pPr>
      <w:r w:rsidRPr="00331B71">
        <w:rPr>
          <w:rFonts w:ascii="Arial" w:eastAsia="Arial" w:hAnsi="Arial" w:cs="Arial"/>
          <w:b/>
          <w:bCs/>
          <w:sz w:val="24"/>
          <w:szCs w:val="24"/>
          <w:lang w:val="es-ES"/>
        </w:rPr>
        <w:t>Artículo 52</w:t>
      </w:r>
      <w:r w:rsidRPr="00331B71">
        <w:rPr>
          <w:rFonts w:ascii="Arial" w:eastAsia="Arial" w:hAnsi="Arial" w:cs="Arial"/>
          <w:sz w:val="24"/>
          <w:szCs w:val="24"/>
          <w:lang w:val="es-ES"/>
        </w:rPr>
        <w:t>: establece que el Estado debe garantizar medios materiales para el acceso a la educación rural y agrotécnica.</w:t>
      </w:r>
    </w:p>
    <w:p w:rsidR="00331B71" w:rsidRPr="00331B71" w:rsidRDefault="00331B71" w:rsidP="00331B71">
      <w:pPr>
        <w:spacing w:before="200" w:after="240" w:line="276" w:lineRule="auto"/>
        <w:ind w:firstLine="720"/>
        <w:jc w:val="both"/>
        <w:rPr>
          <w:rFonts w:ascii="Arial" w:eastAsia="Arial" w:hAnsi="Arial" w:cs="Arial"/>
          <w:sz w:val="24"/>
          <w:szCs w:val="24"/>
          <w:lang w:val="es-ES"/>
        </w:rPr>
      </w:pPr>
      <w:r w:rsidRPr="00331B71">
        <w:rPr>
          <w:rFonts w:ascii="Arial" w:eastAsia="Arial" w:hAnsi="Arial" w:cs="Arial"/>
          <w:sz w:val="24"/>
          <w:szCs w:val="24"/>
          <w:lang w:val="es-ES"/>
        </w:rPr>
        <w:t xml:space="preserve">🔹 El </w:t>
      </w:r>
      <w:r w:rsidRPr="00331B71">
        <w:rPr>
          <w:rFonts w:ascii="Arial" w:eastAsia="Arial" w:hAnsi="Arial" w:cs="Arial"/>
          <w:b/>
          <w:bCs/>
          <w:sz w:val="24"/>
          <w:szCs w:val="24"/>
          <w:lang w:val="es-ES"/>
        </w:rPr>
        <w:t>Plan Educativo Provincial 2023–2027</w:t>
      </w:r>
      <w:r w:rsidRPr="00331B71">
        <w:rPr>
          <w:rFonts w:ascii="Arial" w:eastAsia="Arial" w:hAnsi="Arial" w:cs="Arial"/>
          <w:sz w:val="24"/>
          <w:szCs w:val="24"/>
          <w:lang w:val="es-ES"/>
        </w:rPr>
        <w:t xml:space="preserve">, aprobado por el CGE, define como ejes prioritarios la </w:t>
      </w:r>
      <w:r w:rsidRPr="00331B71">
        <w:rPr>
          <w:rFonts w:ascii="Arial" w:eastAsia="Arial" w:hAnsi="Arial" w:cs="Arial"/>
          <w:b/>
          <w:bCs/>
          <w:sz w:val="24"/>
          <w:szCs w:val="24"/>
          <w:lang w:val="es-ES"/>
        </w:rPr>
        <w:t>equidad educativa, la inclusión territorial, el fortalecimiento de la educación rural y la garantía de trayectorias continuas y completas</w:t>
      </w:r>
      <w:r w:rsidRPr="00331B71">
        <w:rPr>
          <w:rFonts w:ascii="Arial" w:eastAsia="Arial" w:hAnsi="Arial" w:cs="Arial"/>
          <w:sz w:val="24"/>
          <w:szCs w:val="24"/>
          <w:lang w:val="es-ES"/>
        </w:rPr>
        <w:t>.</w:t>
      </w:r>
    </w:p>
    <w:p w:rsidR="00331B71" w:rsidRPr="00331B71" w:rsidRDefault="00331B71" w:rsidP="00331B71">
      <w:pPr>
        <w:spacing w:before="200" w:after="240" w:line="276" w:lineRule="auto"/>
        <w:ind w:firstLine="720"/>
        <w:jc w:val="both"/>
        <w:rPr>
          <w:rFonts w:ascii="Arial" w:eastAsia="Arial" w:hAnsi="Arial" w:cs="Arial"/>
          <w:sz w:val="24"/>
          <w:szCs w:val="24"/>
          <w:lang w:val="es-ES"/>
        </w:rPr>
      </w:pPr>
      <w:r w:rsidRPr="00331B71">
        <w:rPr>
          <w:rFonts w:ascii="Arial" w:eastAsia="Arial" w:hAnsi="Arial" w:cs="Arial"/>
          <w:sz w:val="24"/>
          <w:szCs w:val="24"/>
          <w:lang w:val="es-ES"/>
        </w:rPr>
        <w:t xml:space="preserve">Reducir el transporte escolar sin alternativas accesibles ni procesos de consulta comunitaria, </w:t>
      </w:r>
      <w:r w:rsidRPr="00331B71">
        <w:rPr>
          <w:rFonts w:ascii="Arial" w:eastAsia="Arial" w:hAnsi="Arial" w:cs="Arial"/>
          <w:b/>
          <w:bCs/>
          <w:sz w:val="24"/>
          <w:szCs w:val="24"/>
          <w:lang w:val="es-ES"/>
        </w:rPr>
        <w:t>desconoce la realidad territorial, debilita el sistema público educativo y atenta contra el principio de equidad</w:t>
      </w:r>
      <w:r w:rsidRPr="00331B71">
        <w:rPr>
          <w:rFonts w:ascii="Arial" w:eastAsia="Arial" w:hAnsi="Arial" w:cs="Arial"/>
          <w:sz w:val="24"/>
          <w:szCs w:val="24"/>
          <w:lang w:val="es-ES"/>
        </w:rPr>
        <w:t>. El recorte sobre los sectores más vulnerables, rurales y suburbanos, no es una decisión técnica: es una regresión social.</w:t>
      </w:r>
    </w:p>
    <w:p w:rsidR="00331B71" w:rsidRPr="00331B71" w:rsidRDefault="00331B71" w:rsidP="00331B71">
      <w:pPr>
        <w:spacing w:before="200" w:after="240" w:line="276" w:lineRule="auto"/>
        <w:ind w:firstLine="720"/>
        <w:jc w:val="both"/>
        <w:rPr>
          <w:rFonts w:ascii="Arial" w:eastAsia="Arial" w:hAnsi="Arial" w:cs="Arial"/>
          <w:sz w:val="24"/>
          <w:szCs w:val="24"/>
          <w:lang w:val="es-ES"/>
        </w:rPr>
      </w:pPr>
      <w:r w:rsidRPr="00331B71">
        <w:rPr>
          <w:rFonts w:ascii="Arial" w:eastAsia="Arial" w:hAnsi="Arial" w:cs="Arial"/>
          <w:sz w:val="24"/>
          <w:szCs w:val="24"/>
          <w:lang w:val="es-ES"/>
        </w:rPr>
        <w:t>Por todo lo expuesto, y en defensa de los derechos fundamentales de nuestras infancias y juventudes, solicito a mis pares el acompañamiento para la aprobación del presente proyecto</w:t>
      </w:r>
    </w:p>
    <w:p w:rsidR="007F2D21" w:rsidRDefault="007F2D21" w:rsidP="00951E29">
      <w:pPr>
        <w:spacing w:before="200" w:after="240" w:line="276" w:lineRule="auto"/>
        <w:ind w:firstLine="720"/>
        <w:jc w:val="both"/>
        <w:rPr>
          <w:rFonts w:ascii="Arial" w:eastAsia="Arial" w:hAnsi="Arial" w:cs="Arial"/>
          <w:sz w:val="24"/>
          <w:szCs w:val="24"/>
        </w:rPr>
      </w:pPr>
    </w:p>
    <w:sectPr w:rsidR="007F2D21" w:rsidSect="00446FC5">
      <w:headerReference w:type="default" r:id="rId7"/>
      <w:footerReference w:type="default" r:id="rId8"/>
      <w:pgSz w:w="11906" w:h="16838"/>
      <w:pgMar w:top="1134" w:right="1134" w:bottom="1134"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F5E" w:rsidRDefault="00304F5E">
      <w:pPr>
        <w:spacing w:after="0" w:line="240" w:lineRule="auto"/>
      </w:pPr>
      <w:r>
        <w:separator/>
      </w:r>
    </w:p>
  </w:endnote>
  <w:endnote w:type="continuationSeparator" w:id="1">
    <w:p w:rsidR="00304F5E" w:rsidRDefault="00304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21" w:rsidRDefault="000F560D">
    <w:pPr>
      <w:pBdr>
        <w:top w:val="nil"/>
        <w:left w:val="nil"/>
        <w:bottom w:val="nil"/>
        <w:right w:val="nil"/>
        <w:between w:val="nil"/>
      </w:pBdr>
      <w:tabs>
        <w:tab w:val="center" w:pos="4252"/>
        <w:tab w:val="right" w:pos="8504"/>
      </w:tabs>
      <w:spacing w:after="0" w:line="240" w:lineRule="auto"/>
      <w:rPr>
        <w:color w:val="000000"/>
      </w:rPr>
    </w:pPr>
    <w:r>
      <w:rPr>
        <w:noProof/>
        <w:color w:val="000000"/>
        <w:lang w:val="es-ES" w:eastAsia="es-ES"/>
      </w:rPr>
      <w:drawing>
        <wp:inline distT="0" distB="0" distL="0" distR="0">
          <wp:extent cx="6120130" cy="86550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0130" cy="865505"/>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F5E" w:rsidRDefault="00304F5E">
      <w:pPr>
        <w:spacing w:after="0" w:line="240" w:lineRule="auto"/>
      </w:pPr>
      <w:r>
        <w:separator/>
      </w:r>
    </w:p>
  </w:footnote>
  <w:footnote w:type="continuationSeparator" w:id="1">
    <w:p w:rsidR="00304F5E" w:rsidRDefault="00304F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21" w:rsidRDefault="000F560D">
    <w:r>
      <w:rPr>
        <w:noProof/>
        <w:lang w:val="es-ES" w:eastAsia="es-ES"/>
      </w:rPr>
      <w:drawing>
        <wp:inline distT="0" distB="0" distL="0" distR="0">
          <wp:extent cx="6119820" cy="889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9820" cy="889000"/>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97600"/>
    <w:multiLevelType w:val="multilevel"/>
    <w:tmpl w:val="58FC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B82EDD"/>
    <w:multiLevelType w:val="multilevel"/>
    <w:tmpl w:val="30B4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2B5892"/>
    <w:multiLevelType w:val="multilevel"/>
    <w:tmpl w:val="1E92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3C4EF8"/>
    <w:multiLevelType w:val="multilevel"/>
    <w:tmpl w:val="A2DA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7F2D21"/>
    <w:rsid w:val="000F560D"/>
    <w:rsid w:val="00304F5E"/>
    <w:rsid w:val="00331B71"/>
    <w:rsid w:val="003508CC"/>
    <w:rsid w:val="00375B19"/>
    <w:rsid w:val="003F19C7"/>
    <w:rsid w:val="00446FC5"/>
    <w:rsid w:val="005159D4"/>
    <w:rsid w:val="007051CD"/>
    <w:rsid w:val="007F2D21"/>
    <w:rsid w:val="00951E2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FC5"/>
  </w:style>
  <w:style w:type="paragraph" w:styleId="Ttulo1">
    <w:name w:val="heading 1"/>
    <w:basedOn w:val="Normal"/>
    <w:next w:val="Normal"/>
    <w:uiPriority w:val="9"/>
    <w:qFormat/>
    <w:rsid w:val="00446FC5"/>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446FC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446FC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446FC5"/>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446FC5"/>
    <w:pPr>
      <w:keepNext/>
      <w:keepLines/>
      <w:spacing w:before="220" w:after="40"/>
      <w:outlineLvl w:val="4"/>
    </w:pPr>
    <w:rPr>
      <w:b/>
    </w:rPr>
  </w:style>
  <w:style w:type="paragraph" w:styleId="Ttulo6">
    <w:name w:val="heading 6"/>
    <w:basedOn w:val="Normal"/>
    <w:next w:val="Normal"/>
    <w:uiPriority w:val="9"/>
    <w:semiHidden/>
    <w:unhideWhenUsed/>
    <w:qFormat/>
    <w:rsid w:val="00446FC5"/>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446FC5"/>
    <w:tblPr>
      <w:tblCellMar>
        <w:top w:w="0" w:type="dxa"/>
        <w:left w:w="0" w:type="dxa"/>
        <w:bottom w:w="0" w:type="dxa"/>
        <w:right w:w="0" w:type="dxa"/>
      </w:tblCellMar>
    </w:tblPr>
  </w:style>
  <w:style w:type="paragraph" w:styleId="Ttulo">
    <w:name w:val="Title"/>
    <w:basedOn w:val="Normal"/>
    <w:next w:val="Normal"/>
    <w:uiPriority w:val="10"/>
    <w:qFormat/>
    <w:rsid w:val="00446FC5"/>
    <w:pPr>
      <w:keepNext/>
      <w:keepLines/>
      <w:spacing w:before="480" w:after="120"/>
    </w:pPr>
    <w:rPr>
      <w:b/>
      <w:sz w:val="72"/>
      <w:szCs w:val="72"/>
    </w:rPr>
  </w:style>
  <w:style w:type="paragraph" w:styleId="Subttulo">
    <w:name w:val="Subtitle"/>
    <w:basedOn w:val="Normal"/>
    <w:next w:val="Normal"/>
    <w:uiPriority w:val="11"/>
    <w:qFormat/>
    <w:rsid w:val="00446FC5"/>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7051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51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103808">
      <w:bodyDiv w:val="1"/>
      <w:marLeft w:val="0"/>
      <w:marRight w:val="0"/>
      <w:marTop w:val="0"/>
      <w:marBottom w:val="0"/>
      <w:divBdr>
        <w:top w:val="none" w:sz="0" w:space="0" w:color="auto"/>
        <w:left w:val="none" w:sz="0" w:space="0" w:color="auto"/>
        <w:bottom w:val="none" w:sz="0" w:space="0" w:color="auto"/>
        <w:right w:val="none" w:sz="0" w:space="0" w:color="auto"/>
      </w:divBdr>
    </w:div>
    <w:div w:id="370501908">
      <w:bodyDiv w:val="1"/>
      <w:marLeft w:val="0"/>
      <w:marRight w:val="0"/>
      <w:marTop w:val="0"/>
      <w:marBottom w:val="0"/>
      <w:divBdr>
        <w:top w:val="none" w:sz="0" w:space="0" w:color="auto"/>
        <w:left w:val="none" w:sz="0" w:space="0" w:color="auto"/>
        <w:bottom w:val="none" w:sz="0" w:space="0" w:color="auto"/>
        <w:right w:val="none" w:sz="0" w:space="0" w:color="auto"/>
      </w:divBdr>
    </w:div>
    <w:div w:id="489174612">
      <w:bodyDiv w:val="1"/>
      <w:marLeft w:val="0"/>
      <w:marRight w:val="0"/>
      <w:marTop w:val="0"/>
      <w:marBottom w:val="0"/>
      <w:divBdr>
        <w:top w:val="none" w:sz="0" w:space="0" w:color="auto"/>
        <w:left w:val="none" w:sz="0" w:space="0" w:color="auto"/>
        <w:bottom w:val="none" w:sz="0" w:space="0" w:color="auto"/>
        <w:right w:val="none" w:sz="0" w:space="0" w:color="auto"/>
      </w:divBdr>
    </w:div>
    <w:div w:id="1314142541">
      <w:bodyDiv w:val="1"/>
      <w:marLeft w:val="0"/>
      <w:marRight w:val="0"/>
      <w:marTop w:val="0"/>
      <w:marBottom w:val="0"/>
      <w:divBdr>
        <w:top w:val="none" w:sz="0" w:space="0" w:color="auto"/>
        <w:left w:val="none" w:sz="0" w:space="0" w:color="auto"/>
        <w:bottom w:val="none" w:sz="0" w:space="0" w:color="auto"/>
        <w:right w:val="none" w:sz="0" w:space="0" w:color="auto"/>
      </w:divBdr>
    </w:div>
    <w:div w:id="1354957369">
      <w:bodyDiv w:val="1"/>
      <w:marLeft w:val="0"/>
      <w:marRight w:val="0"/>
      <w:marTop w:val="0"/>
      <w:marBottom w:val="0"/>
      <w:divBdr>
        <w:top w:val="none" w:sz="0" w:space="0" w:color="auto"/>
        <w:left w:val="none" w:sz="0" w:space="0" w:color="auto"/>
        <w:bottom w:val="none" w:sz="0" w:space="0" w:color="auto"/>
        <w:right w:val="none" w:sz="0" w:space="0" w:color="auto"/>
      </w:divBdr>
    </w:div>
    <w:div w:id="1390030680">
      <w:bodyDiv w:val="1"/>
      <w:marLeft w:val="0"/>
      <w:marRight w:val="0"/>
      <w:marTop w:val="0"/>
      <w:marBottom w:val="0"/>
      <w:divBdr>
        <w:top w:val="none" w:sz="0" w:space="0" w:color="auto"/>
        <w:left w:val="none" w:sz="0" w:space="0" w:color="auto"/>
        <w:bottom w:val="none" w:sz="0" w:space="0" w:color="auto"/>
        <w:right w:val="none" w:sz="0" w:space="0" w:color="auto"/>
      </w:divBdr>
    </w:div>
    <w:div w:id="1431464729">
      <w:bodyDiv w:val="1"/>
      <w:marLeft w:val="0"/>
      <w:marRight w:val="0"/>
      <w:marTop w:val="0"/>
      <w:marBottom w:val="0"/>
      <w:divBdr>
        <w:top w:val="none" w:sz="0" w:space="0" w:color="auto"/>
        <w:left w:val="none" w:sz="0" w:space="0" w:color="auto"/>
        <w:bottom w:val="none" w:sz="0" w:space="0" w:color="auto"/>
        <w:right w:val="none" w:sz="0" w:space="0" w:color="auto"/>
      </w:divBdr>
    </w:div>
    <w:div w:id="1692993581">
      <w:bodyDiv w:val="1"/>
      <w:marLeft w:val="0"/>
      <w:marRight w:val="0"/>
      <w:marTop w:val="0"/>
      <w:marBottom w:val="0"/>
      <w:divBdr>
        <w:top w:val="none" w:sz="0" w:space="0" w:color="auto"/>
        <w:left w:val="none" w:sz="0" w:space="0" w:color="auto"/>
        <w:bottom w:val="none" w:sz="0" w:space="0" w:color="auto"/>
        <w:right w:val="none" w:sz="0" w:space="0" w:color="auto"/>
      </w:divBdr>
    </w:div>
    <w:div w:id="1738239150">
      <w:bodyDiv w:val="1"/>
      <w:marLeft w:val="0"/>
      <w:marRight w:val="0"/>
      <w:marTop w:val="0"/>
      <w:marBottom w:val="0"/>
      <w:divBdr>
        <w:top w:val="none" w:sz="0" w:space="0" w:color="auto"/>
        <w:left w:val="none" w:sz="0" w:space="0" w:color="auto"/>
        <w:bottom w:val="none" w:sz="0" w:space="0" w:color="auto"/>
        <w:right w:val="none" w:sz="0" w:space="0" w:color="auto"/>
      </w:divBdr>
    </w:div>
    <w:div w:id="1856771197">
      <w:bodyDiv w:val="1"/>
      <w:marLeft w:val="0"/>
      <w:marRight w:val="0"/>
      <w:marTop w:val="0"/>
      <w:marBottom w:val="0"/>
      <w:divBdr>
        <w:top w:val="none" w:sz="0" w:space="0" w:color="auto"/>
        <w:left w:val="none" w:sz="0" w:space="0" w:color="auto"/>
        <w:bottom w:val="none" w:sz="0" w:space="0" w:color="auto"/>
        <w:right w:val="none" w:sz="0" w:space="0" w:color="auto"/>
      </w:divBdr>
    </w:div>
    <w:div w:id="2089643849">
      <w:bodyDiv w:val="1"/>
      <w:marLeft w:val="0"/>
      <w:marRight w:val="0"/>
      <w:marTop w:val="0"/>
      <w:marBottom w:val="0"/>
      <w:divBdr>
        <w:top w:val="none" w:sz="0" w:space="0" w:color="auto"/>
        <w:left w:val="none" w:sz="0" w:space="0" w:color="auto"/>
        <w:bottom w:val="none" w:sz="0" w:space="0" w:color="auto"/>
        <w:right w:val="none" w:sz="0" w:space="0" w:color="auto"/>
      </w:divBdr>
    </w:div>
    <w:div w:id="2117945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747</Words>
  <Characters>4112</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Carlos Guillermo Reggiardo</dc:creator>
  <cp:lastModifiedBy>Guillermo</cp:lastModifiedBy>
  <cp:revision>3</cp:revision>
  <dcterms:created xsi:type="dcterms:W3CDTF">2025-07-05T16:28:00Z</dcterms:created>
  <dcterms:modified xsi:type="dcterms:W3CDTF">2025-07-05T17:47:00Z</dcterms:modified>
</cp:coreProperties>
</file>