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25" w:rsidRDefault="00015D25">
      <w:pPr>
        <w:spacing w:after="0" w:line="240" w:lineRule="auto"/>
        <w:jc w:val="center"/>
        <w:rPr>
          <w:rFonts w:ascii="Bookman Old Style" w:eastAsia="Bookman Old Style" w:hAnsi="Bookman Old Style" w:cs="Bookman Old Style"/>
          <w:b/>
          <w:color w:val="000000"/>
          <w:sz w:val="28"/>
          <w:szCs w:val="28"/>
        </w:rPr>
      </w:pPr>
    </w:p>
    <w:p w:rsidR="00015D25" w:rsidRDefault="00015D25">
      <w:pPr>
        <w:spacing w:after="0" w:line="240" w:lineRule="auto"/>
        <w:jc w:val="center"/>
        <w:rPr>
          <w:rFonts w:ascii="Bookman Old Style" w:eastAsia="Bookman Old Style" w:hAnsi="Bookman Old Style" w:cs="Bookman Old Style"/>
          <w:b/>
          <w:color w:val="000000"/>
          <w:sz w:val="28"/>
          <w:szCs w:val="28"/>
        </w:rPr>
      </w:pPr>
    </w:p>
    <w:p w:rsidR="00015D25" w:rsidRDefault="00015D25">
      <w:pPr>
        <w:spacing w:after="0" w:line="240" w:lineRule="auto"/>
        <w:jc w:val="center"/>
        <w:rPr>
          <w:rFonts w:ascii="Bookman Old Style" w:eastAsia="Bookman Old Style" w:hAnsi="Bookman Old Style" w:cs="Bookman Old Style"/>
          <w:b/>
          <w:color w:val="000000"/>
          <w:sz w:val="28"/>
          <w:szCs w:val="28"/>
        </w:rPr>
      </w:pPr>
    </w:p>
    <w:p w:rsidR="00015D25" w:rsidRDefault="00015D25">
      <w:pPr>
        <w:spacing w:after="0" w:line="240" w:lineRule="auto"/>
        <w:jc w:val="center"/>
        <w:rPr>
          <w:rFonts w:ascii="Bookman Old Style" w:eastAsia="Bookman Old Style" w:hAnsi="Bookman Old Style" w:cs="Bookman Old Style"/>
          <w:b/>
          <w:color w:val="000000"/>
          <w:sz w:val="28"/>
          <w:szCs w:val="28"/>
        </w:rPr>
      </w:pPr>
    </w:p>
    <w:p w:rsidR="00015D25" w:rsidRDefault="00015D25">
      <w:pPr>
        <w:spacing w:after="0" w:line="240" w:lineRule="auto"/>
        <w:jc w:val="center"/>
        <w:rPr>
          <w:rFonts w:ascii="Bookman Old Style" w:eastAsia="Bookman Old Style" w:hAnsi="Bookman Old Style" w:cs="Bookman Old Style"/>
          <w:b/>
          <w:color w:val="000000"/>
          <w:sz w:val="28"/>
          <w:szCs w:val="28"/>
        </w:rPr>
      </w:pPr>
    </w:p>
    <w:p w:rsidR="00165C17" w:rsidRDefault="00015D25">
      <w:pPr>
        <w:spacing w:after="0" w:line="240" w:lineRule="auto"/>
        <w:jc w:val="center"/>
        <w:rPr>
          <w:rFonts w:ascii="Times New Roman" w:eastAsia="Times New Roman" w:hAnsi="Times New Roman" w:cs="Times New Roman"/>
          <w:sz w:val="24"/>
          <w:szCs w:val="24"/>
        </w:rPr>
      </w:pPr>
      <w:r>
        <w:rPr>
          <w:rFonts w:ascii="Bookman Old Style" w:eastAsia="Bookman Old Style" w:hAnsi="Bookman Old Style" w:cs="Bookman Old Style"/>
          <w:b/>
          <w:color w:val="000000"/>
          <w:sz w:val="28"/>
          <w:szCs w:val="28"/>
        </w:rPr>
        <w:t>Proyecto de Declaración</w:t>
      </w:r>
    </w:p>
    <w:p w:rsidR="00165C17" w:rsidRDefault="00165C17">
      <w:pPr>
        <w:spacing w:after="0" w:line="240" w:lineRule="auto"/>
        <w:rPr>
          <w:rFonts w:ascii="Times New Roman" w:eastAsia="Times New Roman" w:hAnsi="Times New Roman" w:cs="Times New Roman"/>
          <w:sz w:val="24"/>
          <w:szCs w:val="24"/>
        </w:rPr>
      </w:pPr>
    </w:p>
    <w:p w:rsidR="00165C17" w:rsidRDefault="00015D25">
      <w:pPr>
        <w:spacing w:after="0" w:line="240" w:lineRule="auto"/>
        <w:jc w:val="center"/>
        <w:rPr>
          <w:rFonts w:ascii="Times New Roman" w:eastAsia="Times New Roman" w:hAnsi="Times New Roman" w:cs="Times New Roman"/>
          <w:sz w:val="24"/>
          <w:szCs w:val="24"/>
        </w:rPr>
      </w:pPr>
      <w:r>
        <w:rPr>
          <w:rFonts w:ascii="Bookman Old Style" w:eastAsia="Bookman Old Style" w:hAnsi="Bookman Old Style" w:cs="Bookman Old Style"/>
          <w:b/>
          <w:color w:val="000000"/>
          <w:sz w:val="28"/>
          <w:szCs w:val="28"/>
          <w:u w:val="single"/>
        </w:rPr>
        <w:t>FUNDAMENTOS</w:t>
      </w:r>
    </w:p>
    <w:p w:rsidR="00165C17" w:rsidRDefault="00165C17">
      <w:pPr>
        <w:spacing w:after="0" w:line="240" w:lineRule="auto"/>
        <w:rPr>
          <w:rFonts w:ascii="Bookman Old Style" w:eastAsia="Bookman Old Style" w:hAnsi="Bookman Old Style" w:cs="Bookman Old Style"/>
          <w:sz w:val="32"/>
          <w:szCs w:val="32"/>
        </w:rPr>
      </w:pPr>
    </w:p>
    <w:p w:rsidR="00165C17" w:rsidRDefault="00015D25">
      <w:pPr>
        <w:ind w:firstLine="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próximo 29 de Julio se desarrollará en la ciudad de Paraná la Jornada de Suelos de la Región Centro, organizada por el Ente Región Centro e Integración Regional.</w:t>
      </w:r>
    </w:p>
    <w:p w:rsidR="00165C17" w:rsidRDefault="00015D25">
      <w:pPr>
        <w:ind w:firstLine="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degradación del suelo se define como la pérdida de su capacidad productiva, y en la provincia de Entre Ríos, al igual que en gran parte de la Región Centro del país, la principal causa de esta degradación es la erosión hídrica.</w:t>
      </w:r>
    </w:p>
    <w:p w:rsidR="00165C17" w:rsidRDefault="00015D25">
      <w:pPr>
        <w:ind w:firstLine="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Diversos estudios han dem</w:t>
      </w:r>
      <w:r>
        <w:rPr>
          <w:rFonts w:ascii="Bookman Old Style" w:eastAsia="Bookman Old Style" w:hAnsi="Bookman Old Style" w:cs="Bookman Old Style"/>
          <w:sz w:val="24"/>
          <w:szCs w:val="24"/>
        </w:rPr>
        <w:t xml:space="preserve">ostrado el impacto directo de esta problemática en la productividad agropecuaria. Los investigadores </w:t>
      </w:r>
      <w:proofErr w:type="spellStart"/>
      <w:r>
        <w:rPr>
          <w:rFonts w:ascii="Bookman Old Style" w:eastAsia="Bookman Old Style" w:hAnsi="Bookman Old Style" w:cs="Bookman Old Style"/>
          <w:sz w:val="24"/>
          <w:szCs w:val="24"/>
        </w:rPr>
        <w:t>Paparoti</w:t>
      </w:r>
      <w:proofErr w:type="spellEnd"/>
      <w:r>
        <w:rPr>
          <w:rFonts w:ascii="Bookman Old Style" w:eastAsia="Bookman Old Style" w:hAnsi="Bookman Old Style" w:cs="Bookman Old Style"/>
          <w:sz w:val="24"/>
          <w:szCs w:val="24"/>
        </w:rPr>
        <w:t xml:space="preserve"> y </w:t>
      </w:r>
      <w:proofErr w:type="spellStart"/>
      <w:r>
        <w:rPr>
          <w:rFonts w:ascii="Bookman Old Style" w:eastAsia="Bookman Old Style" w:hAnsi="Bookman Old Style" w:cs="Bookman Old Style"/>
          <w:sz w:val="24"/>
          <w:szCs w:val="24"/>
        </w:rPr>
        <w:t>Gvozdenovich</w:t>
      </w:r>
      <w:proofErr w:type="spellEnd"/>
      <w:r>
        <w:rPr>
          <w:rFonts w:ascii="Bookman Old Style" w:eastAsia="Bookman Old Style" w:hAnsi="Bookman Old Style" w:cs="Bookman Old Style"/>
          <w:sz w:val="24"/>
          <w:szCs w:val="24"/>
        </w:rPr>
        <w:t xml:space="preserve"> reportaron pérdidas de rendimiento en soja de 61 kg/ha por cada centímetro de suelo erosionado. Por su parte, </w:t>
      </w:r>
      <w:proofErr w:type="spellStart"/>
      <w:r>
        <w:rPr>
          <w:rFonts w:ascii="Bookman Old Style" w:eastAsia="Bookman Old Style" w:hAnsi="Bookman Old Style" w:cs="Bookman Old Style"/>
          <w:sz w:val="24"/>
          <w:szCs w:val="24"/>
        </w:rPr>
        <w:t>Irurtia</w:t>
      </w:r>
      <w:proofErr w:type="spellEnd"/>
      <w:r>
        <w:rPr>
          <w:rFonts w:ascii="Bookman Old Style" w:eastAsia="Bookman Old Style" w:hAnsi="Bookman Old Style" w:cs="Bookman Old Style"/>
          <w:sz w:val="24"/>
          <w:szCs w:val="24"/>
        </w:rPr>
        <w:t xml:space="preserve"> y </w:t>
      </w:r>
      <w:proofErr w:type="spellStart"/>
      <w:r>
        <w:rPr>
          <w:rFonts w:ascii="Bookman Old Style" w:eastAsia="Bookman Old Style" w:hAnsi="Bookman Old Style" w:cs="Bookman Old Style"/>
          <w:sz w:val="24"/>
          <w:szCs w:val="24"/>
        </w:rPr>
        <w:t>Mon</w:t>
      </w:r>
      <w:proofErr w:type="spellEnd"/>
      <w:r>
        <w:rPr>
          <w:rFonts w:ascii="Bookman Old Style" w:eastAsia="Bookman Old Style" w:hAnsi="Bookman Old Style" w:cs="Bookman Old Style"/>
          <w:sz w:val="24"/>
          <w:szCs w:val="24"/>
        </w:rPr>
        <w:t xml:space="preserve"> observa</w:t>
      </w:r>
      <w:r>
        <w:rPr>
          <w:rFonts w:ascii="Bookman Old Style" w:eastAsia="Bookman Old Style" w:hAnsi="Bookman Old Style" w:cs="Bookman Old Style"/>
          <w:sz w:val="24"/>
          <w:szCs w:val="24"/>
        </w:rPr>
        <w:t>ron reducciones promedio de 175 kg en soja, 128 kg en trigo y 561 kg en maíz por cada centímetro de suelo perdido.</w:t>
      </w:r>
    </w:p>
    <w:p w:rsidR="00165C17" w:rsidRDefault="00015D25">
      <w:pPr>
        <w:ind w:firstLine="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Teniendo en cuenta que a fines del siglo pasado, la expansión agrícola </w:t>
      </w:r>
      <w:proofErr w:type="gramStart"/>
      <w:r>
        <w:rPr>
          <w:rFonts w:ascii="Bookman Old Style" w:eastAsia="Bookman Old Style" w:hAnsi="Bookman Old Style" w:cs="Bookman Old Style"/>
          <w:sz w:val="24"/>
          <w:szCs w:val="24"/>
        </w:rPr>
        <w:t>basada</w:t>
      </w:r>
      <w:proofErr w:type="gramEnd"/>
      <w:r>
        <w:rPr>
          <w:rFonts w:ascii="Bookman Old Style" w:eastAsia="Bookman Old Style" w:hAnsi="Bookman Old Style" w:cs="Bookman Old Style"/>
          <w:sz w:val="24"/>
          <w:szCs w:val="24"/>
        </w:rPr>
        <w:t xml:space="preserve"> en la siembra directa permitió reducir significativamente la er</w:t>
      </w:r>
      <w:r>
        <w:rPr>
          <w:rFonts w:ascii="Bookman Old Style" w:eastAsia="Bookman Old Style" w:hAnsi="Bookman Old Style" w:cs="Bookman Old Style"/>
          <w:sz w:val="24"/>
          <w:szCs w:val="24"/>
        </w:rPr>
        <w:t>osión en campos agrícolas tradicionales. Sin embargo, esta misma expansión incorporó nuevas zonas al uso agrícola —principalmente con monocultivo de soja— donde comenzaron a observarse serios procesos erosivos. Este fenómeno fue especialmente evidente en l</w:t>
      </w:r>
      <w:r>
        <w:rPr>
          <w:rFonts w:ascii="Bookman Old Style" w:eastAsia="Bookman Old Style" w:hAnsi="Bookman Old Style" w:cs="Bookman Old Style"/>
          <w:sz w:val="24"/>
          <w:szCs w:val="24"/>
        </w:rPr>
        <w:t xml:space="preserve">os departamentos </w:t>
      </w:r>
      <w:proofErr w:type="spellStart"/>
      <w:r>
        <w:rPr>
          <w:rFonts w:ascii="Bookman Old Style" w:eastAsia="Bookman Old Style" w:hAnsi="Bookman Old Style" w:cs="Bookman Old Style"/>
          <w:sz w:val="24"/>
          <w:szCs w:val="24"/>
        </w:rPr>
        <w:t>Gualeguaychú</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Villaguay</w:t>
      </w:r>
      <w:proofErr w:type="spellEnd"/>
      <w:r>
        <w:rPr>
          <w:rFonts w:ascii="Bookman Old Style" w:eastAsia="Bookman Old Style" w:hAnsi="Bookman Old Style" w:cs="Bookman Old Style"/>
          <w:sz w:val="24"/>
          <w:szCs w:val="24"/>
        </w:rPr>
        <w:t>, Uruguay, San Salvador y Colón.</w:t>
      </w:r>
    </w:p>
    <w:p w:rsidR="00165C17" w:rsidRDefault="00015D25">
      <w:pPr>
        <w:ind w:firstLine="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Como resultado, la superficie erosionada en la provincia aumentó de 2.300.000 hectáreas en 1974 a 3.940.000 hectáreas en 2015. A nivel nacional, la tendencia es aún más alarmante: de </w:t>
      </w:r>
      <w:r>
        <w:rPr>
          <w:rFonts w:ascii="Bookman Old Style" w:eastAsia="Bookman Old Style" w:hAnsi="Bookman Old Style" w:cs="Bookman Old Style"/>
          <w:sz w:val="24"/>
          <w:szCs w:val="24"/>
        </w:rPr>
        <w:t>18,2 millones de hectáreas erosionadas en 1952, se pasó a 64,6 millones en 2015 (</w:t>
      </w:r>
      <w:proofErr w:type="spellStart"/>
      <w:r>
        <w:rPr>
          <w:rFonts w:ascii="Bookman Old Style" w:eastAsia="Bookman Old Style" w:hAnsi="Bookman Old Style" w:cs="Bookman Old Style"/>
          <w:sz w:val="24"/>
          <w:szCs w:val="24"/>
        </w:rPr>
        <w:t>Panigatti</w:t>
      </w:r>
      <w:proofErr w:type="spellEnd"/>
      <w:r>
        <w:rPr>
          <w:rFonts w:ascii="Bookman Old Style" w:eastAsia="Bookman Old Style" w:hAnsi="Bookman Old Style" w:cs="Bookman Old Style"/>
          <w:sz w:val="24"/>
          <w:szCs w:val="24"/>
        </w:rPr>
        <w:t>, 2015).</w:t>
      </w:r>
    </w:p>
    <w:p w:rsidR="00015D25" w:rsidRDefault="00015D25">
      <w:pPr>
        <w:ind w:firstLine="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este contexto, se ha organizado una Jornada de Conservación de Suelos con el objetivo de generar un espacio de diálogo y reflexión sobre los avances y des</w:t>
      </w:r>
      <w:r>
        <w:rPr>
          <w:rFonts w:ascii="Bookman Old Style" w:eastAsia="Bookman Old Style" w:hAnsi="Bookman Old Style" w:cs="Bookman Old Style"/>
          <w:sz w:val="24"/>
          <w:szCs w:val="24"/>
        </w:rPr>
        <w:t xml:space="preserve">afíos en la materia, tanto desde el punto de vista técnico como legislativo. Participando en su organización la Facultad de Ciencias Agropecuarias de la Universidad Nacional de Entre Ríos, el INTA, el Colegio </w:t>
      </w:r>
    </w:p>
    <w:p w:rsidR="00015D25" w:rsidRDefault="00015D25">
      <w:pPr>
        <w:ind w:firstLine="567"/>
        <w:jc w:val="both"/>
        <w:rPr>
          <w:rFonts w:ascii="Bookman Old Style" w:eastAsia="Bookman Old Style" w:hAnsi="Bookman Old Style" w:cs="Bookman Old Style"/>
          <w:sz w:val="24"/>
          <w:szCs w:val="24"/>
        </w:rPr>
      </w:pPr>
    </w:p>
    <w:p w:rsidR="00015D25" w:rsidRDefault="00015D25">
      <w:pPr>
        <w:ind w:firstLine="567"/>
        <w:jc w:val="both"/>
        <w:rPr>
          <w:rFonts w:ascii="Bookman Old Style" w:eastAsia="Bookman Old Style" w:hAnsi="Bookman Old Style" w:cs="Bookman Old Style"/>
          <w:sz w:val="24"/>
          <w:szCs w:val="24"/>
        </w:rPr>
      </w:pPr>
    </w:p>
    <w:p w:rsidR="00165C17" w:rsidRDefault="00015D25">
      <w:pPr>
        <w:ind w:firstLine="567"/>
        <w:jc w:val="both"/>
        <w:rPr>
          <w:rFonts w:ascii="Bookman Old Style" w:eastAsia="Bookman Old Style" w:hAnsi="Bookman Old Style" w:cs="Bookman Old Style"/>
          <w:sz w:val="24"/>
          <w:szCs w:val="24"/>
        </w:rPr>
      </w:pPr>
      <w:proofErr w:type="gramStart"/>
      <w:r>
        <w:rPr>
          <w:rFonts w:ascii="Bookman Old Style" w:eastAsia="Bookman Old Style" w:hAnsi="Bookman Old Style" w:cs="Bookman Old Style"/>
          <w:sz w:val="24"/>
          <w:szCs w:val="24"/>
        </w:rPr>
        <w:t>de</w:t>
      </w:r>
      <w:proofErr w:type="gramEnd"/>
      <w:r>
        <w:rPr>
          <w:rFonts w:ascii="Bookman Old Style" w:eastAsia="Bookman Old Style" w:hAnsi="Bookman Old Style" w:cs="Bookman Old Style"/>
          <w:sz w:val="24"/>
          <w:szCs w:val="24"/>
        </w:rPr>
        <w:t xml:space="preserve"> Profesionales de la Agronomía de Entre Ríos </w:t>
      </w:r>
      <w:r>
        <w:rPr>
          <w:rFonts w:ascii="Bookman Old Style" w:eastAsia="Bookman Old Style" w:hAnsi="Bookman Old Style" w:cs="Bookman Old Style"/>
          <w:sz w:val="24"/>
          <w:szCs w:val="24"/>
        </w:rPr>
        <w:t>(COPAER), el Gobierno de Entre Ríos y la Región Centro.</w:t>
      </w:r>
    </w:p>
    <w:p w:rsidR="00165C17" w:rsidRDefault="00015D25">
      <w:pPr>
        <w:ind w:firstLine="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el plano normativo, Entre Ríos fue pionera en la región al sancionar su Ley de Conservación de Suelos en 1989, pero desde entonces los avances han sido limitados. En contraste, las provincias vecin</w:t>
      </w:r>
      <w:r>
        <w:rPr>
          <w:rFonts w:ascii="Bookman Old Style" w:eastAsia="Bookman Old Style" w:hAnsi="Bookman Old Style" w:cs="Bookman Old Style"/>
          <w:sz w:val="24"/>
          <w:szCs w:val="24"/>
        </w:rPr>
        <w:t>as han desarrollado experiencias valiosas: Santa Fe con su Observatorio de Suelos y Córdoba con sus programas de Buenas Prácticas Agrícolas y los Consorcios de Conservación de Suelos por cuenca. Esta jornada busca propiciar el intercambio de estas experien</w:t>
      </w:r>
      <w:r>
        <w:rPr>
          <w:rFonts w:ascii="Bookman Old Style" w:eastAsia="Bookman Old Style" w:hAnsi="Bookman Old Style" w:cs="Bookman Old Style"/>
          <w:sz w:val="24"/>
          <w:szCs w:val="24"/>
        </w:rPr>
        <w:t xml:space="preserve">cias y evaluar su aplicabilidad en nuestra provincia. Asimismo, se prevé la participación de representantes de la República Oriental del Uruguay, quienes compartirán los resultados obtenidos mediante la aplicación de su Ley de Conservación de Suelos y los </w:t>
      </w:r>
      <w:r>
        <w:rPr>
          <w:rFonts w:ascii="Bookman Old Style" w:eastAsia="Bookman Old Style" w:hAnsi="Bookman Old Style" w:cs="Bookman Old Style"/>
          <w:sz w:val="24"/>
          <w:szCs w:val="24"/>
        </w:rPr>
        <w:t>Planes Prediales de Uso y Conservación.</w:t>
      </w:r>
    </w:p>
    <w:p w:rsidR="00165C17" w:rsidRDefault="00015D25">
      <w:pPr>
        <w:ind w:firstLine="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Desde el punto de vista técnico, la jornada propuesta abordará métodos probados de control de erosión hídrica, como la sistematización de suelos con terrazas de evacuación y canales colectores. Si bien en Entre Ríos </w:t>
      </w:r>
      <w:r>
        <w:rPr>
          <w:rFonts w:ascii="Bookman Old Style" w:eastAsia="Bookman Old Style" w:hAnsi="Bookman Old Style" w:cs="Bookman Old Style"/>
          <w:sz w:val="24"/>
          <w:szCs w:val="24"/>
        </w:rPr>
        <w:t>se han sistematizado más de 600.000 hectáreas, estudios recientes (</w:t>
      </w:r>
      <w:proofErr w:type="spellStart"/>
      <w:r>
        <w:rPr>
          <w:rFonts w:ascii="Bookman Old Style" w:eastAsia="Bookman Old Style" w:hAnsi="Bookman Old Style" w:cs="Bookman Old Style"/>
          <w:sz w:val="24"/>
          <w:szCs w:val="24"/>
        </w:rPr>
        <w:t>Gvozdenovich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Saluzzio</w:t>
      </w:r>
      <w:proofErr w:type="spellEnd"/>
      <w:r>
        <w:rPr>
          <w:rFonts w:ascii="Bookman Old Style" w:eastAsia="Bookman Old Style" w:hAnsi="Bookman Old Style" w:cs="Bookman Old Style"/>
          <w:sz w:val="24"/>
          <w:szCs w:val="24"/>
        </w:rPr>
        <w:t xml:space="preserve"> y </w:t>
      </w:r>
      <w:proofErr w:type="spellStart"/>
      <w:r>
        <w:rPr>
          <w:rFonts w:ascii="Bookman Old Style" w:eastAsia="Bookman Old Style" w:hAnsi="Bookman Old Style" w:cs="Bookman Old Style"/>
          <w:sz w:val="24"/>
          <w:szCs w:val="24"/>
        </w:rPr>
        <w:t>Piotto</w:t>
      </w:r>
      <w:proofErr w:type="spellEnd"/>
      <w:r>
        <w:rPr>
          <w:rFonts w:ascii="Bookman Old Style" w:eastAsia="Bookman Old Style" w:hAnsi="Bookman Old Style" w:cs="Bookman Old Style"/>
          <w:sz w:val="24"/>
          <w:szCs w:val="24"/>
        </w:rPr>
        <w:t>, 2020) indican que el 24% de esa superficie presenta deficiencias en su funcionamiento, lo que representa una oportunidad clave para analizar causas y buscar</w:t>
      </w:r>
      <w:r>
        <w:rPr>
          <w:rFonts w:ascii="Bookman Old Style" w:eastAsia="Bookman Old Style" w:hAnsi="Bookman Old Style" w:cs="Bookman Old Style"/>
          <w:sz w:val="24"/>
          <w:szCs w:val="24"/>
        </w:rPr>
        <w:t xml:space="preserve"> mejoras.</w:t>
      </w:r>
    </w:p>
    <w:p w:rsidR="00165C17" w:rsidRDefault="00015D25">
      <w:pPr>
        <w:ind w:firstLine="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También se propone debatir prácticas de manejo que favorezcan la conservación del recurso suelo. La siembra directa ha sido un avance importante, pero su uso sin rotaciones de cultivos adecuadas ha derivado en pérdidas significativas de </w:t>
      </w:r>
      <w:proofErr w:type="gramStart"/>
      <w:r>
        <w:rPr>
          <w:rFonts w:ascii="Bookman Old Style" w:eastAsia="Bookman Old Style" w:hAnsi="Bookman Old Style" w:cs="Bookman Old Style"/>
          <w:sz w:val="24"/>
          <w:szCs w:val="24"/>
        </w:rPr>
        <w:t>materia o</w:t>
      </w:r>
      <w:r>
        <w:rPr>
          <w:rFonts w:ascii="Bookman Old Style" w:eastAsia="Bookman Old Style" w:hAnsi="Bookman Old Style" w:cs="Bookman Old Style"/>
          <w:sz w:val="24"/>
          <w:szCs w:val="24"/>
        </w:rPr>
        <w:t>rgánica y nutrientes</w:t>
      </w:r>
      <w:proofErr w:type="gramEnd"/>
      <w:r>
        <w:rPr>
          <w:rFonts w:ascii="Bookman Old Style" w:eastAsia="Bookman Old Style" w:hAnsi="Bookman Old Style" w:cs="Bookman Old Style"/>
          <w:sz w:val="24"/>
          <w:szCs w:val="24"/>
        </w:rPr>
        <w:t xml:space="preserve"> de los suelos. El tránsito de maquinaria en condiciones de alta humedad ha agravado el problema mediante la compactación, reducción de la infiltración y mayor escurrimiento superficial. La intensificación agrícola junto con el uso de c</w:t>
      </w:r>
      <w:r>
        <w:rPr>
          <w:rFonts w:ascii="Bookman Old Style" w:eastAsia="Bookman Old Style" w:hAnsi="Bookman Old Style" w:cs="Bookman Old Style"/>
          <w:sz w:val="24"/>
          <w:szCs w:val="24"/>
        </w:rPr>
        <w:t>ultivos de cobertura son algunas de las tecnologías que se abordarán durante la jornada con el aporte de especialistas.</w:t>
      </w:r>
    </w:p>
    <w:p w:rsidR="00165C17" w:rsidRDefault="00015D25">
      <w:pPr>
        <w:ind w:firstLine="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Por todo lo expuesto, se considera de máxima relevancia institucional, ambiental y productiva que esta Jornada de Conservación de Suelos</w:t>
      </w:r>
      <w:r>
        <w:rPr>
          <w:rFonts w:ascii="Bookman Old Style" w:eastAsia="Bookman Old Style" w:hAnsi="Bookman Old Style" w:cs="Bookman Old Style"/>
          <w:sz w:val="24"/>
          <w:szCs w:val="24"/>
        </w:rPr>
        <w:t xml:space="preserve"> reciba el reconocimiento de interés por parte de esta Honorable Cámara, en tanto constituye una instancia clave para el desarrollo de políticas públicas, el fortalecimiento técnico del sector y la conservación de un recurso vital para las futuras generaci</w:t>
      </w:r>
      <w:r>
        <w:rPr>
          <w:rFonts w:ascii="Bookman Old Style" w:eastAsia="Bookman Old Style" w:hAnsi="Bookman Old Style" w:cs="Bookman Old Style"/>
          <w:sz w:val="24"/>
          <w:szCs w:val="24"/>
        </w:rPr>
        <w:t>ones, es por esto que solicito a mis pares que me acompañen en este proyecto.</w:t>
      </w:r>
    </w:p>
    <w:p w:rsidR="00165C17" w:rsidRDefault="00165C17">
      <w:pPr>
        <w:ind w:firstLine="567"/>
        <w:jc w:val="both"/>
        <w:rPr>
          <w:rFonts w:ascii="Bookman Old Style" w:eastAsia="Bookman Old Style" w:hAnsi="Bookman Old Style" w:cs="Bookman Old Style"/>
          <w:sz w:val="24"/>
          <w:szCs w:val="24"/>
        </w:rPr>
      </w:pPr>
    </w:p>
    <w:p w:rsidR="00015D25" w:rsidRDefault="00015D25">
      <w:pPr>
        <w:pBdr>
          <w:top w:val="single" w:sz="4" w:space="1" w:color="000000"/>
          <w:left w:val="single" w:sz="4" w:space="4" w:color="000000"/>
          <w:bottom w:val="single" w:sz="4" w:space="1" w:color="000000"/>
          <w:right w:val="single" w:sz="4" w:space="4" w:color="000000"/>
        </w:pBdr>
        <w:tabs>
          <w:tab w:val="right" w:pos="8504"/>
        </w:tabs>
        <w:jc w:val="both"/>
        <w:rPr>
          <w:rFonts w:ascii="Bookman Old Style" w:eastAsia="Bookman Old Style" w:hAnsi="Bookman Old Style" w:cs="Bookman Old Style"/>
          <w:sz w:val="24"/>
          <w:szCs w:val="24"/>
        </w:rPr>
      </w:pPr>
    </w:p>
    <w:p w:rsidR="00015D25" w:rsidRDefault="00015D25">
      <w:pPr>
        <w:pBdr>
          <w:top w:val="single" w:sz="4" w:space="1" w:color="000000"/>
          <w:left w:val="single" w:sz="4" w:space="4" w:color="000000"/>
          <w:bottom w:val="single" w:sz="4" w:space="1" w:color="000000"/>
          <w:right w:val="single" w:sz="4" w:space="4" w:color="000000"/>
        </w:pBdr>
        <w:tabs>
          <w:tab w:val="right" w:pos="8504"/>
        </w:tabs>
        <w:jc w:val="both"/>
        <w:rPr>
          <w:rFonts w:ascii="Bookman Old Style" w:eastAsia="Bookman Old Style" w:hAnsi="Bookman Old Style" w:cs="Bookman Old Style"/>
          <w:sz w:val="24"/>
          <w:szCs w:val="24"/>
        </w:rPr>
      </w:pPr>
    </w:p>
    <w:p w:rsidR="00165C17" w:rsidRDefault="00015D25">
      <w:pPr>
        <w:pBdr>
          <w:top w:val="single" w:sz="4" w:space="1" w:color="000000"/>
          <w:left w:val="single" w:sz="4" w:space="4" w:color="000000"/>
          <w:bottom w:val="single" w:sz="4" w:space="1" w:color="000000"/>
          <w:right w:val="single" w:sz="4" w:space="4" w:color="000000"/>
        </w:pBdr>
        <w:tabs>
          <w:tab w:val="right" w:pos="8504"/>
        </w:tabs>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Programa de la Jornada de Suelos de la Región Centro, 29 de Julio de 2025</w:t>
      </w:r>
      <w:r>
        <w:rPr>
          <w:rFonts w:ascii="Bookman Old Style" w:eastAsia="Bookman Old Style" w:hAnsi="Bookman Old Style" w:cs="Bookman Old Style"/>
          <w:sz w:val="24"/>
          <w:szCs w:val="24"/>
        </w:rPr>
        <w:tab/>
      </w:r>
    </w:p>
    <w:tbl>
      <w:tblPr>
        <w:tblStyle w:val="a"/>
        <w:tblW w:w="8490" w:type="dxa"/>
        <w:tblInd w:w="-56" w:type="dxa"/>
        <w:tblLayout w:type="fixed"/>
        <w:tblLook w:val="0000" w:firstRow="0" w:lastRow="0" w:firstColumn="0" w:lastColumn="0" w:noHBand="0" w:noVBand="0"/>
      </w:tblPr>
      <w:tblGrid>
        <w:gridCol w:w="2640"/>
        <w:gridCol w:w="5850"/>
      </w:tblGrid>
      <w:tr w:rsidR="00165C17">
        <w:tc>
          <w:tcPr>
            <w:tcW w:w="2640" w:type="dxa"/>
          </w:tcPr>
          <w:p w:rsidR="00165C17" w:rsidRDefault="00165C17">
            <w:pPr>
              <w:spacing w:after="0" w:line="240" w:lineRule="auto"/>
              <w:ind w:firstLine="567"/>
              <w:rPr>
                <w:rFonts w:ascii="Bookman Old Style" w:eastAsia="Bookman Old Style" w:hAnsi="Bookman Old Style" w:cs="Bookman Old Style"/>
                <w:sz w:val="24"/>
                <w:szCs w:val="24"/>
              </w:rPr>
            </w:pPr>
          </w:p>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13:00 a 13:30h</w:t>
            </w:r>
          </w:p>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CPC Paraná</w:t>
            </w:r>
          </w:p>
        </w:tc>
        <w:tc>
          <w:tcPr>
            <w:tcW w:w="5850" w:type="dxa"/>
          </w:tcPr>
          <w:p w:rsidR="00165C17" w:rsidRDefault="00165C17">
            <w:pPr>
              <w:spacing w:after="0" w:line="240" w:lineRule="auto"/>
              <w:ind w:firstLine="567"/>
              <w:rPr>
                <w:rFonts w:ascii="Bookman Old Style" w:eastAsia="Bookman Old Style" w:hAnsi="Bookman Old Style" w:cs="Bookman Old Style"/>
                <w:sz w:val="24"/>
                <w:szCs w:val="24"/>
              </w:rPr>
            </w:pPr>
          </w:p>
          <w:p w:rsidR="00165C17" w:rsidRDefault="00015D25">
            <w:pPr>
              <w:spacing w:after="0" w:line="240" w:lineRule="auto"/>
              <w:ind w:firstLine="567"/>
              <w:rPr>
                <w:rFonts w:ascii="Bookman Old Style" w:eastAsia="Bookman Old Style" w:hAnsi="Bookman Old Style" w:cs="Bookman Old Style"/>
                <w:sz w:val="24"/>
                <w:szCs w:val="24"/>
              </w:rPr>
            </w:pPr>
            <w:bookmarkStart w:id="0" w:name="_heading=h.8qc5svm0n435" w:colFirst="0" w:colLast="0"/>
            <w:bookmarkEnd w:id="0"/>
            <w:r>
              <w:rPr>
                <w:rFonts w:ascii="Bookman Old Style" w:eastAsia="Bookman Old Style" w:hAnsi="Bookman Old Style" w:cs="Bookman Old Style"/>
                <w:sz w:val="24"/>
                <w:szCs w:val="24"/>
              </w:rPr>
              <w:t>Acreditaciones</w:t>
            </w:r>
          </w:p>
          <w:p w:rsidR="00165C17" w:rsidRDefault="00165C17">
            <w:pPr>
              <w:spacing w:before="40" w:after="0" w:line="240" w:lineRule="auto"/>
              <w:ind w:firstLine="567"/>
              <w:rPr>
                <w:rFonts w:ascii="Bookman Old Style" w:eastAsia="Bookman Old Style" w:hAnsi="Bookman Old Style" w:cs="Bookman Old Style"/>
                <w:sz w:val="24"/>
                <w:szCs w:val="24"/>
              </w:rPr>
            </w:pPr>
          </w:p>
        </w:tc>
      </w:tr>
      <w:tr w:rsidR="00165C17">
        <w:tc>
          <w:tcPr>
            <w:tcW w:w="2640" w:type="dxa"/>
          </w:tcPr>
          <w:p w:rsidR="00165C17" w:rsidRDefault="00165C17">
            <w:pPr>
              <w:spacing w:after="0" w:line="240" w:lineRule="auto"/>
              <w:ind w:firstLine="567"/>
              <w:rPr>
                <w:rFonts w:ascii="Bookman Old Style" w:eastAsia="Bookman Old Style" w:hAnsi="Bookman Old Style" w:cs="Bookman Old Style"/>
                <w:sz w:val="24"/>
                <w:szCs w:val="24"/>
              </w:rPr>
            </w:pPr>
          </w:p>
        </w:tc>
        <w:tc>
          <w:tcPr>
            <w:tcW w:w="5850" w:type="dxa"/>
          </w:tcPr>
          <w:p w:rsidR="00165C17" w:rsidRDefault="00165C17">
            <w:pPr>
              <w:spacing w:after="0" w:line="240" w:lineRule="auto"/>
              <w:ind w:firstLine="567"/>
              <w:rPr>
                <w:rFonts w:ascii="Bookman Old Style" w:eastAsia="Bookman Old Style" w:hAnsi="Bookman Old Style" w:cs="Bookman Old Style"/>
                <w:sz w:val="24"/>
                <w:szCs w:val="24"/>
              </w:rPr>
            </w:pPr>
          </w:p>
        </w:tc>
      </w:tr>
      <w:tr w:rsidR="00165C17">
        <w:trPr>
          <w:trHeight w:val="156"/>
        </w:trPr>
        <w:tc>
          <w:tcPr>
            <w:tcW w:w="2640" w:type="dxa"/>
          </w:tcPr>
          <w:p w:rsidR="00165C17" w:rsidRDefault="00165C17">
            <w:pPr>
              <w:spacing w:after="0" w:line="240" w:lineRule="auto"/>
              <w:ind w:firstLine="567"/>
              <w:rPr>
                <w:rFonts w:ascii="Bookman Old Style" w:eastAsia="Bookman Old Style" w:hAnsi="Bookman Old Style" w:cs="Bookman Old Style"/>
                <w:sz w:val="24"/>
                <w:szCs w:val="24"/>
              </w:rPr>
            </w:pPr>
          </w:p>
        </w:tc>
        <w:tc>
          <w:tcPr>
            <w:tcW w:w="5850" w:type="dxa"/>
          </w:tcPr>
          <w:p w:rsidR="00165C17" w:rsidRDefault="00165C17">
            <w:pPr>
              <w:spacing w:after="0" w:line="240" w:lineRule="auto"/>
              <w:ind w:firstLine="567"/>
              <w:rPr>
                <w:rFonts w:ascii="Bookman Old Style" w:eastAsia="Bookman Old Style" w:hAnsi="Bookman Old Style" w:cs="Bookman Old Style"/>
                <w:sz w:val="24"/>
                <w:szCs w:val="24"/>
              </w:rPr>
            </w:pPr>
          </w:p>
        </w:tc>
      </w:tr>
      <w:tr w:rsidR="00165C17">
        <w:tc>
          <w:tcPr>
            <w:tcW w:w="2640" w:type="dxa"/>
          </w:tcPr>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14:00 a 14:30 h</w:t>
            </w:r>
          </w:p>
          <w:p w:rsidR="00165C17" w:rsidRDefault="00165C17">
            <w:pPr>
              <w:spacing w:after="0" w:line="240" w:lineRule="auto"/>
              <w:ind w:firstLine="567"/>
              <w:rPr>
                <w:rFonts w:ascii="Bookman Old Style" w:eastAsia="Bookman Old Style" w:hAnsi="Bookman Old Style" w:cs="Bookman Old Style"/>
                <w:sz w:val="24"/>
                <w:szCs w:val="24"/>
              </w:rPr>
            </w:pPr>
          </w:p>
        </w:tc>
        <w:tc>
          <w:tcPr>
            <w:tcW w:w="5850" w:type="dxa"/>
          </w:tcPr>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Acto de apertura</w:t>
            </w:r>
          </w:p>
          <w:p w:rsidR="00165C17" w:rsidRDefault="00015D25">
            <w:pPr>
              <w:spacing w:before="40"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Palabras gobernadores Región Centro, INTA, y Facultades de Agronomía </w:t>
            </w:r>
          </w:p>
        </w:tc>
      </w:tr>
      <w:tr w:rsidR="00165C17">
        <w:tc>
          <w:tcPr>
            <w:tcW w:w="2640" w:type="dxa"/>
          </w:tcPr>
          <w:p w:rsidR="00165C17" w:rsidRDefault="00165C17">
            <w:pPr>
              <w:spacing w:after="0" w:line="240" w:lineRule="auto"/>
              <w:ind w:firstLine="567"/>
              <w:rPr>
                <w:rFonts w:ascii="Bookman Old Style" w:eastAsia="Bookman Old Style" w:hAnsi="Bookman Old Style" w:cs="Bookman Old Style"/>
                <w:sz w:val="24"/>
                <w:szCs w:val="24"/>
              </w:rPr>
            </w:pPr>
          </w:p>
        </w:tc>
        <w:tc>
          <w:tcPr>
            <w:tcW w:w="5850" w:type="dxa"/>
          </w:tcPr>
          <w:p w:rsidR="00165C17" w:rsidRDefault="00165C17">
            <w:pPr>
              <w:spacing w:after="0" w:line="240" w:lineRule="auto"/>
              <w:ind w:firstLine="567"/>
              <w:rPr>
                <w:rFonts w:ascii="Bookman Old Style" w:eastAsia="Bookman Old Style" w:hAnsi="Bookman Old Style" w:cs="Bookman Old Style"/>
                <w:sz w:val="24"/>
                <w:szCs w:val="24"/>
              </w:rPr>
            </w:pPr>
          </w:p>
        </w:tc>
      </w:tr>
      <w:tr w:rsidR="00165C17">
        <w:tc>
          <w:tcPr>
            <w:tcW w:w="2640" w:type="dxa"/>
          </w:tcPr>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14:30 a 15:30 h</w:t>
            </w:r>
          </w:p>
          <w:p w:rsidR="00165C17" w:rsidRDefault="00165C17">
            <w:pPr>
              <w:spacing w:after="0" w:line="240" w:lineRule="auto"/>
              <w:ind w:firstLine="567"/>
              <w:rPr>
                <w:rFonts w:ascii="Bookman Old Style" w:eastAsia="Bookman Old Style" w:hAnsi="Bookman Old Style" w:cs="Bookman Old Style"/>
                <w:sz w:val="24"/>
                <w:szCs w:val="24"/>
              </w:rPr>
            </w:pPr>
          </w:p>
        </w:tc>
        <w:tc>
          <w:tcPr>
            <w:tcW w:w="5850" w:type="dxa"/>
          </w:tcPr>
          <w:p w:rsidR="00165C17" w:rsidRDefault="00015D25">
            <w:pPr>
              <w:spacing w:before="40"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Exposición: Legislaciones provinciales en Conservación de Suelos Entre Ríos, Córdoba y Santa Fe. Planes de uso de suelo en ROU.</w:t>
            </w:r>
          </w:p>
        </w:tc>
      </w:tr>
      <w:tr w:rsidR="00165C17">
        <w:tc>
          <w:tcPr>
            <w:tcW w:w="2640" w:type="dxa"/>
          </w:tcPr>
          <w:p w:rsidR="00165C17" w:rsidRDefault="00165C17">
            <w:pPr>
              <w:spacing w:after="0" w:line="240" w:lineRule="auto"/>
              <w:ind w:firstLine="567"/>
              <w:rPr>
                <w:rFonts w:ascii="Bookman Old Style" w:eastAsia="Bookman Old Style" w:hAnsi="Bookman Old Style" w:cs="Bookman Old Style"/>
                <w:sz w:val="24"/>
                <w:szCs w:val="24"/>
              </w:rPr>
            </w:pPr>
          </w:p>
        </w:tc>
        <w:tc>
          <w:tcPr>
            <w:tcW w:w="5850" w:type="dxa"/>
          </w:tcPr>
          <w:p w:rsidR="00165C17" w:rsidRDefault="00165C17">
            <w:pPr>
              <w:spacing w:after="0" w:line="240" w:lineRule="auto"/>
              <w:ind w:firstLine="567"/>
              <w:rPr>
                <w:rFonts w:ascii="Bookman Old Style" w:eastAsia="Bookman Old Style" w:hAnsi="Bookman Old Style" w:cs="Bookman Old Style"/>
                <w:sz w:val="24"/>
                <w:szCs w:val="24"/>
              </w:rPr>
            </w:pPr>
          </w:p>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Ronda de intercambios.</w:t>
            </w:r>
          </w:p>
        </w:tc>
      </w:tr>
      <w:tr w:rsidR="00165C17">
        <w:trPr>
          <w:trHeight w:val="278"/>
        </w:trPr>
        <w:tc>
          <w:tcPr>
            <w:tcW w:w="2640" w:type="dxa"/>
          </w:tcPr>
          <w:p w:rsidR="00165C17" w:rsidRDefault="00165C17">
            <w:pPr>
              <w:spacing w:after="0" w:line="240" w:lineRule="auto"/>
              <w:ind w:firstLine="567"/>
              <w:rPr>
                <w:rFonts w:ascii="Bookman Old Style" w:eastAsia="Bookman Old Style" w:hAnsi="Bookman Old Style" w:cs="Bookman Old Style"/>
                <w:sz w:val="24"/>
                <w:szCs w:val="24"/>
              </w:rPr>
            </w:pPr>
          </w:p>
        </w:tc>
        <w:tc>
          <w:tcPr>
            <w:tcW w:w="5850" w:type="dxa"/>
          </w:tcPr>
          <w:p w:rsidR="00165C17" w:rsidRDefault="00165C17">
            <w:pPr>
              <w:spacing w:after="0" w:line="240" w:lineRule="auto"/>
              <w:ind w:firstLine="567"/>
              <w:rPr>
                <w:rFonts w:ascii="Bookman Old Style" w:eastAsia="Bookman Old Style" w:hAnsi="Bookman Old Style" w:cs="Bookman Old Style"/>
                <w:sz w:val="24"/>
                <w:szCs w:val="24"/>
              </w:rPr>
            </w:pPr>
          </w:p>
        </w:tc>
      </w:tr>
      <w:tr w:rsidR="00165C17">
        <w:tc>
          <w:tcPr>
            <w:tcW w:w="2640" w:type="dxa"/>
          </w:tcPr>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16:00 a 17:30 h</w:t>
            </w:r>
          </w:p>
          <w:p w:rsidR="00165C17" w:rsidRDefault="00165C17">
            <w:pPr>
              <w:spacing w:after="0" w:line="240" w:lineRule="auto"/>
              <w:ind w:firstLine="567"/>
              <w:rPr>
                <w:rFonts w:ascii="Bookman Old Style" w:eastAsia="Bookman Old Style" w:hAnsi="Bookman Old Style" w:cs="Bookman Old Style"/>
                <w:sz w:val="24"/>
                <w:szCs w:val="24"/>
              </w:rPr>
            </w:pPr>
          </w:p>
        </w:tc>
        <w:tc>
          <w:tcPr>
            <w:tcW w:w="5850" w:type="dxa"/>
          </w:tcPr>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Conferencias magistrales: Conservación de suelos. Compactación de suelos. Beneficio económico de la conservación de suelos.</w:t>
            </w:r>
          </w:p>
          <w:p w:rsidR="00165C17" w:rsidRDefault="00165C17">
            <w:pPr>
              <w:ind w:firstLine="567"/>
              <w:rPr>
                <w:rFonts w:ascii="Bookman Old Style" w:eastAsia="Bookman Old Style" w:hAnsi="Bookman Old Style" w:cs="Bookman Old Style"/>
                <w:sz w:val="24"/>
                <w:szCs w:val="24"/>
              </w:rPr>
            </w:pPr>
          </w:p>
        </w:tc>
      </w:tr>
      <w:tr w:rsidR="00165C17">
        <w:tc>
          <w:tcPr>
            <w:tcW w:w="2640" w:type="dxa"/>
          </w:tcPr>
          <w:p w:rsidR="00165C17" w:rsidRDefault="00165C17">
            <w:pPr>
              <w:spacing w:after="0" w:line="240" w:lineRule="auto"/>
              <w:ind w:firstLine="567"/>
              <w:rPr>
                <w:rFonts w:ascii="Bookman Old Style" w:eastAsia="Bookman Old Style" w:hAnsi="Bookman Old Style" w:cs="Bookman Old Style"/>
                <w:sz w:val="24"/>
                <w:szCs w:val="24"/>
              </w:rPr>
            </w:pPr>
          </w:p>
        </w:tc>
        <w:tc>
          <w:tcPr>
            <w:tcW w:w="5850" w:type="dxa"/>
          </w:tcPr>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Ronda de intercambios.</w:t>
            </w:r>
          </w:p>
        </w:tc>
      </w:tr>
    </w:tbl>
    <w:p w:rsidR="00165C17" w:rsidRDefault="00165C17">
      <w:pPr>
        <w:spacing w:after="0" w:line="240" w:lineRule="auto"/>
        <w:ind w:firstLine="567"/>
        <w:rPr>
          <w:rFonts w:ascii="Bookman Old Style" w:eastAsia="Bookman Old Style" w:hAnsi="Bookman Old Style" w:cs="Bookman Old Style"/>
          <w:sz w:val="24"/>
          <w:szCs w:val="24"/>
        </w:rPr>
      </w:pPr>
    </w:p>
    <w:tbl>
      <w:tblPr>
        <w:tblStyle w:val="a0"/>
        <w:tblW w:w="8494" w:type="dxa"/>
        <w:tblInd w:w="-56" w:type="dxa"/>
        <w:tblLayout w:type="fixed"/>
        <w:tblLook w:val="0000" w:firstRow="0" w:lastRow="0" w:firstColumn="0" w:lastColumn="0" w:noHBand="0" w:noVBand="0"/>
      </w:tblPr>
      <w:tblGrid>
        <w:gridCol w:w="2405"/>
        <w:gridCol w:w="6089"/>
      </w:tblGrid>
      <w:tr w:rsidR="00165C17">
        <w:trPr>
          <w:trHeight w:val="1224"/>
        </w:trPr>
        <w:tc>
          <w:tcPr>
            <w:tcW w:w="2405" w:type="dxa"/>
          </w:tcPr>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18:00 a 19:00 h</w:t>
            </w:r>
          </w:p>
          <w:p w:rsidR="00165C17" w:rsidRDefault="00165C17">
            <w:pPr>
              <w:spacing w:after="0" w:line="240" w:lineRule="auto"/>
              <w:ind w:firstLine="567"/>
              <w:rPr>
                <w:rFonts w:ascii="Bookman Old Style" w:eastAsia="Bookman Old Style" w:hAnsi="Bookman Old Style" w:cs="Bookman Old Style"/>
                <w:sz w:val="24"/>
                <w:szCs w:val="24"/>
              </w:rPr>
            </w:pPr>
          </w:p>
        </w:tc>
        <w:tc>
          <w:tcPr>
            <w:tcW w:w="6089" w:type="dxa"/>
          </w:tcPr>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Charlas técnicas: mapas de pérdidas de suelo de la región centro, manejo de cárcavas, restauración de tierras. </w:t>
            </w:r>
          </w:p>
        </w:tc>
      </w:tr>
      <w:tr w:rsidR="00165C17">
        <w:tc>
          <w:tcPr>
            <w:tcW w:w="2405" w:type="dxa"/>
          </w:tcPr>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19:00 h</w:t>
            </w:r>
          </w:p>
          <w:p w:rsidR="00165C17" w:rsidRDefault="00165C17">
            <w:pPr>
              <w:spacing w:after="0" w:line="240" w:lineRule="auto"/>
              <w:ind w:firstLine="567"/>
              <w:rPr>
                <w:rFonts w:ascii="Bookman Old Style" w:eastAsia="Bookman Old Style" w:hAnsi="Bookman Old Style" w:cs="Bookman Old Style"/>
                <w:sz w:val="24"/>
                <w:szCs w:val="24"/>
              </w:rPr>
            </w:pPr>
          </w:p>
        </w:tc>
        <w:tc>
          <w:tcPr>
            <w:tcW w:w="6089" w:type="dxa"/>
          </w:tcPr>
          <w:p w:rsidR="00165C17" w:rsidRDefault="00015D25">
            <w:pPr>
              <w:spacing w:after="0" w:line="240" w:lineRule="auto"/>
              <w:ind w:firstLine="567"/>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Cierre y fin de la jornada</w:t>
            </w:r>
          </w:p>
        </w:tc>
      </w:tr>
    </w:tbl>
    <w:p w:rsidR="00165C17" w:rsidRDefault="00165C17">
      <w:pPr>
        <w:ind w:firstLine="567"/>
        <w:jc w:val="both"/>
        <w:rPr>
          <w:rFonts w:ascii="Bookman Old Style" w:eastAsia="Bookman Old Style" w:hAnsi="Bookman Old Style" w:cs="Bookman Old Style"/>
          <w:sz w:val="24"/>
          <w:szCs w:val="24"/>
        </w:rPr>
      </w:pPr>
    </w:p>
    <w:p w:rsidR="00165C17" w:rsidRDefault="00165C17">
      <w:pPr>
        <w:ind w:firstLine="567"/>
        <w:jc w:val="both"/>
        <w:rPr>
          <w:rFonts w:ascii="Bookman Old Style" w:eastAsia="Bookman Old Style" w:hAnsi="Bookman Old Style" w:cs="Bookman Old Style"/>
          <w:sz w:val="24"/>
          <w:szCs w:val="24"/>
        </w:rPr>
      </w:pPr>
    </w:p>
    <w:p w:rsidR="00015D25" w:rsidRDefault="00015D25">
      <w:pPr>
        <w:ind w:firstLine="567"/>
        <w:jc w:val="both"/>
        <w:rPr>
          <w:rFonts w:ascii="Bookman Old Style" w:eastAsia="Bookman Old Style" w:hAnsi="Bookman Old Style" w:cs="Bookman Old Style"/>
          <w:sz w:val="24"/>
          <w:szCs w:val="24"/>
        </w:rPr>
      </w:pPr>
    </w:p>
    <w:p w:rsidR="00015D25" w:rsidRDefault="00015D25">
      <w:pPr>
        <w:ind w:firstLine="567"/>
        <w:jc w:val="both"/>
        <w:rPr>
          <w:rFonts w:ascii="Bookman Old Style" w:eastAsia="Bookman Old Style" w:hAnsi="Bookman Old Style" w:cs="Bookman Old Style"/>
          <w:sz w:val="24"/>
          <w:szCs w:val="24"/>
        </w:rPr>
      </w:pPr>
    </w:p>
    <w:p w:rsidR="00015D25" w:rsidRDefault="00015D25">
      <w:pPr>
        <w:ind w:firstLine="567"/>
        <w:jc w:val="both"/>
        <w:rPr>
          <w:rFonts w:ascii="Bookman Old Style" w:eastAsia="Bookman Old Style" w:hAnsi="Bookman Old Style" w:cs="Bookman Old Style"/>
          <w:sz w:val="24"/>
          <w:szCs w:val="24"/>
        </w:rPr>
      </w:pPr>
    </w:p>
    <w:p w:rsidR="00015D25" w:rsidRDefault="00015D25">
      <w:pPr>
        <w:ind w:firstLine="567"/>
        <w:jc w:val="both"/>
        <w:rPr>
          <w:rFonts w:ascii="Bookman Old Style" w:eastAsia="Bookman Old Style" w:hAnsi="Bookman Old Style" w:cs="Bookman Old Style"/>
          <w:sz w:val="24"/>
          <w:szCs w:val="24"/>
        </w:rPr>
      </w:pPr>
    </w:p>
    <w:p w:rsidR="00015D25" w:rsidRDefault="00015D25">
      <w:pPr>
        <w:ind w:firstLine="567"/>
        <w:jc w:val="both"/>
        <w:rPr>
          <w:rFonts w:ascii="Bookman Old Style" w:eastAsia="Bookman Old Style" w:hAnsi="Bookman Old Style" w:cs="Bookman Old Style"/>
          <w:sz w:val="24"/>
          <w:szCs w:val="24"/>
        </w:rPr>
      </w:pPr>
    </w:p>
    <w:p w:rsidR="00015D25" w:rsidRDefault="00015D25">
      <w:pPr>
        <w:ind w:firstLine="567"/>
        <w:jc w:val="both"/>
        <w:rPr>
          <w:rFonts w:ascii="Bookman Old Style" w:eastAsia="Bookman Old Style" w:hAnsi="Bookman Old Style" w:cs="Bookman Old Style"/>
          <w:sz w:val="24"/>
          <w:szCs w:val="24"/>
        </w:rPr>
      </w:pPr>
    </w:p>
    <w:p w:rsidR="00015D25" w:rsidRDefault="00015D25">
      <w:pPr>
        <w:ind w:firstLine="567"/>
        <w:jc w:val="both"/>
        <w:rPr>
          <w:rFonts w:ascii="Bookman Old Style" w:eastAsia="Bookman Old Style" w:hAnsi="Bookman Old Style" w:cs="Bookman Old Style"/>
          <w:sz w:val="24"/>
          <w:szCs w:val="24"/>
        </w:rPr>
      </w:pPr>
    </w:p>
    <w:p w:rsidR="00015D25" w:rsidRDefault="00015D25">
      <w:pPr>
        <w:ind w:firstLine="567"/>
        <w:jc w:val="both"/>
        <w:rPr>
          <w:rFonts w:ascii="Bookman Old Style" w:eastAsia="Bookman Old Style" w:hAnsi="Bookman Old Style" w:cs="Bookman Old Style"/>
          <w:sz w:val="24"/>
          <w:szCs w:val="24"/>
        </w:rPr>
      </w:pPr>
      <w:bookmarkStart w:id="1" w:name="_GoBack"/>
      <w:bookmarkEnd w:id="1"/>
    </w:p>
    <w:p w:rsidR="00015D25" w:rsidRDefault="00015D25">
      <w:pPr>
        <w:ind w:firstLine="567"/>
        <w:jc w:val="both"/>
        <w:rPr>
          <w:rFonts w:ascii="Bookman Old Style" w:eastAsia="Bookman Old Style" w:hAnsi="Bookman Old Style" w:cs="Bookman Old Style"/>
          <w:sz w:val="24"/>
          <w:szCs w:val="24"/>
        </w:rPr>
      </w:pPr>
    </w:p>
    <w:p w:rsidR="00165C17" w:rsidRDefault="00015D25">
      <w:pPr>
        <w:spacing w:after="0" w:line="240" w:lineRule="auto"/>
        <w:jc w:val="center"/>
        <w:rPr>
          <w:rFonts w:ascii="Times New Roman" w:eastAsia="Times New Roman" w:hAnsi="Times New Roman" w:cs="Times New Roman"/>
          <w:sz w:val="24"/>
          <w:szCs w:val="24"/>
        </w:rPr>
      </w:pPr>
      <w:r>
        <w:rPr>
          <w:rFonts w:ascii="Bookman Old Style" w:eastAsia="Bookman Old Style" w:hAnsi="Bookman Old Style" w:cs="Bookman Old Style"/>
          <w:b/>
          <w:color w:val="000000"/>
          <w:sz w:val="28"/>
          <w:szCs w:val="28"/>
        </w:rPr>
        <w:t xml:space="preserve">LA HONORABLE </w:t>
      </w:r>
      <w:r>
        <w:rPr>
          <w:rFonts w:ascii="Bookman Old Style" w:eastAsia="Bookman Old Style" w:hAnsi="Bookman Old Style" w:cs="Bookman Old Style"/>
          <w:b/>
          <w:sz w:val="28"/>
          <w:szCs w:val="28"/>
        </w:rPr>
        <w:t>CÁMARA</w:t>
      </w:r>
      <w:r>
        <w:rPr>
          <w:rFonts w:ascii="Bookman Old Style" w:eastAsia="Bookman Old Style" w:hAnsi="Bookman Old Style" w:cs="Bookman Old Style"/>
          <w:b/>
          <w:color w:val="000000"/>
          <w:sz w:val="28"/>
          <w:szCs w:val="28"/>
        </w:rPr>
        <w:t xml:space="preserve"> DE SENADORES DE LA PROVINCIA DE ENTRE </w:t>
      </w:r>
      <w:r>
        <w:rPr>
          <w:rFonts w:ascii="Bookman Old Style" w:eastAsia="Bookman Old Style" w:hAnsi="Bookman Old Style" w:cs="Bookman Old Style"/>
          <w:b/>
          <w:sz w:val="28"/>
          <w:szCs w:val="28"/>
        </w:rPr>
        <w:t>RÍOS</w:t>
      </w:r>
    </w:p>
    <w:p w:rsidR="00165C17" w:rsidRDefault="00165C17">
      <w:pPr>
        <w:spacing w:after="0" w:line="240" w:lineRule="auto"/>
        <w:rPr>
          <w:rFonts w:ascii="Times New Roman" w:eastAsia="Times New Roman" w:hAnsi="Times New Roman" w:cs="Times New Roman"/>
          <w:sz w:val="24"/>
          <w:szCs w:val="24"/>
        </w:rPr>
      </w:pPr>
    </w:p>
    <w:p w:rsidR="00165C17" w:rsidRDefault="00015D25">
      <w:pPr>
        <w:spacing w:after="0" w:line="240" w:lineRule="auto"/>
        <w:jc w:val="center"/>
        <w:rPr>
          <w:rFonts w:ascii="Times New Roman" w:eastAsia="Times New Roman" w:hAnsi="Times New Roman" w:cs="Times New Roman"/>
          <w:sz w:val="24"/>
          <w:szCs w:val="24"/>
        </w:rPr>
      </w:pPr>
      <w:r>
        <w:rPr>
          <w:rFonts w:ascii="Bookman Old Style" w:eastAsia="Bookman Old Style" w:hAnsi="Bookman Old Style" w:cs="Bookman Old Style"/>
          <w:b/>
          <w:color w:val="000000"/>
          <w:sz w:val="32"/>
          <w:szCs w:val="32"/>
        </w:rPr>
        <w:t> DECLARA:</w:t>
      </w:r>
    </w:p>
    <w:p w:rsidR="00165C17" w:rsidRDefault="00165C17">
      <w:pPr>
        <w:spacing w:after="240" w:line="240" w:lineRule="auto"/>
        <w:rPr>
          <w:rFonts w:ascii="Times New Roman" w:eastAsia="Times New Roman" w:hAnsi="Times New Roman" w:cs="Times New Roman"/>
          <w:sz w:val="24"/>
          <w:szCs w:val="24"/>
        </w:rPr>
      </w:pPr>
    </w:p>
    <w:p w:rsidR="00165C17" w:rsidRDefault="00015D25">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u w:val="single"/>
        </w:rPr>
        <w:t>PRIMERO:</w:t>
      </w:r>
      <w:r>
        <w:rPr>
          <w:rFonts w:ascii="Bookman Old Style" w:eastAsia="Bookman Old Style" w:hAnsi="Bookman Old Style" w:cs="Bookman Old Style"/>
          <w:b/>
          <w:color w:val="000000"/>
          <w:sz w:val="24"/>
          <w:szCs w:val="24"/>
        </w:rPr>
        <w:t xml:space="preserve"> </w:t>
      </w:r>
      <w:r>
        <w:rPr>
          <w:rFonts w:ascii="Bookman Old Style" w:eastAsia="Bookman Old Style" w:hAnsi="Bookman Old Style" w:cs="Bookman Old Style"/>
          <w:color w:val="000000"/>
          <w:sz w:val="24"/>
          <w:szCs w:val="24"/>
        </w:rPr>
        <w:t xml:space="preserve">De Interés Legislativo de esta H. Cámara de Senadores </w:t>
      </w:r>
      <w:r>
        <w:rPr>
          <w:rFonts w:ascii="Bookman Old Style" w:eastAsia="Bookman Old Style" w:hAnsi="Bookman Old Style" w:cs="Bookman Old Style"/>
          <w:sz w:val="24"/>
          <w:szCs w:val="24"/>
        </w:rPr>
        <w:t>la</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Jornada de Suelos de la Región Centro</w:t>
      </w:r>
      <w:r>
        <w:rPr>
          <w:rFonts w:ascii="Bookman Old Style" w:eastAsia="Bookman Old Style" w:hAnsi="Bookman Old Style" w:cs="Bookman Old Style"/>
          <w:color w:val="000000"/>
          <w:sz w:val="24"/>
          <w:szCs w:val="24"/>
        </w:rPr>
        <w:t>”</w:t>
      </w:r>
      <w:r>
        <w:rPr>
          <w:rFonts w:ascii="Bookman Old Style" w:eastAsia="Bookman Old Style" w:hAnsi="Bookman Old Style" w:cs="Bookman Old Style"/>
          <w:sz w:val="24"/>
          <w:szCs w:val="24"/>
        </w:rPr>
        <w:t xml:space="preserve">, que se llevará a cabo </w:t>
      </w:r>
      <w:r>
        <w:rPr>
          <w:rFonts w:ascii="Bookman Old Style" w:eastAsia="Bookman Old Style" w:hAnsi="Bookman Old Style" w:cs="Bookman Old Style"/>
          <w:color w:val="000000"/>
          <w:sz w:val="24"/>
          <w:szCs w:val="24"/>
        </w:rPr>
        <w:t xml:space="preserve">el día </w:t>
      </w:r>
      <w:r>
        <w:rPr>
          <w:rFonts w:ascii="Bookman Old Style" w:eastAsia="Bookman Old Style" w:hAnsi="Bookman Old Style" w:cs="Bookman Old Style"/>
          <w:sz w:val="24"/>
          <w:szCs w:val="24"/>
        </w:rPr>
        <w:t>29</w:t>
      </w:r>
      <w:r>
        <w:rPr>
          <w:rFonts w:ascii="Bookman Old Style" w:eastAsia="Bookman Old Style" w:hAnsi="Bookman Old Style" w:cs="Bookman Old Style"/>
          <w:color w:val="000000"/>
          <w:sz w:val="24"/>
          <w:szCs w:val="24"/>
        </w:rPr>
        <w:t xml:space="preserve"> de </w:t>
      </w:r>
      <w:r>
        <w:rPr>
          <w:rFonts w:ascii="Bookman Old Style" w:eastAsia="Bookman Old Style" w:hAnsi="Bookman Old Style" w:cs="Bookman Old Style"/>
          <w:sz w:val="24"/>
          <w:szCs w:val="24"/>
        </w:rPr>
        <w:t>julio</w:t>
      </w:r>
      <w:r>
        <w:rPr>
          <w:rFonts w:ascii="Bookman Old Style" w:eastAsia="Bookman Old Style" w:hAnsi="Bookman Old Style" w:cs="Bookman Old Style"/>
          <w:color w:val="000000"/>
          <w:sz w:val="24"/>
          <w:szCs w:val="24"/>
        </w:rPr>
        <w:t xml:space="preserve"> de 2025</w:t>
      </w:r>
      <w:r>
        <w:rPr>
          <w:rFonts w:ascii="Bookman Old Style" w:eastAsia="Bookman Old Style" w:hAnsi="Bookman Old Style" w:cs="Bookman Old Style"/>
          <w:sz w:val="24"/>
          <w:szCs w:val="24"/>
        </w:rPr>
        <w:t xml:space="preserve"> en la ciudad de Paraná.</w:t>
      </w:r>
    </w:p>
    <w:p w:rsidR="00165C17" w:rsidRDefault="00165C17">
      <w:pPr>
        <w:spacing w:after="0" w:line="240" w:lineRule="auto"/>
        <w:rPr>
          <w:rFonts w:ascii="Bookman Old Style" w:eastAsia="Bookman Old Style" w:hAnsi="Bookman Old Style" w:cs="Bookman Old Style"/>
          <w:sz w:val="24"/>
          <w:szCs w:val="24"/>
        </w:rPr>
      </w:pPr>
    </w:p>
    <w:p w:rsidR="00165C17" w:rsidRDefault="00015D25">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u w:val="single"/>
        </w:rPr>
        <w:t>SEGUNDO:</w:t>
      </w:r>
      <w:r>
        <w:rPr>
          <w:rFonts w:ascii="Bookman Old Style" w:eastAsia="Bookman Old Style" w:hAnsi="Bookman Old Style" w:cs="Bookman Old Style"/>
          <w:color w:val="000000"/>
          <w:sz w:val="24"/>
          <w:szCs w:val="24"/>
        </w:rPr>
        <w:t xml:space="preserve"> Comuníquese y remítase copia a</w:t>
      </w:r>
      <w:r>
        <w:rPr>
          <w:rFonts w:ascii="Bookman Old Style" w:eastAsia="Bookman Old Style" w:hAnsi="Bookman Old Style" w:cs="Bookman Old Style"/>
          <w:sz w:val="24"/>
          <w:szCs w:val="24"/>
        </w:rPr>
        <w:t xml:space="preserve">l Presidente del Ente Región Centro e Integración Regional, Sr. Jorge </w:t>
      </w:r>
      <w:proofErr w:type="spellStart"/>
      <w:r>
        <w:rPr>
          <w:rFonts w:ascii="Bookman Old Style" w:eastAsia="Bookman Old Style" w:hAnsi="Bookman Old Style" w:cs="Bookman Old Style"/>
          <w:sz w:val="24"/>
          <w:szCs w:val="24"/>
        </w:rPr>
        <w:t>Chemes</w:t>
      </w:r>
      <w:proofErr w:type="spellEnd"/>
      <w:r>
        <w:rPr>
          <w:rFonts w:ascii="Bookman Old Style" w:eastAsia="Bookman Old Style" w:hAnsi="Bookman Old Style" w:cs="Bookman Old Style"/>
          <w:sz w:val="24"/>
          <w:szCs w:val="24"/>
        </w:rPr>
        <w:t>.</w:t>
      </w:r>
    </w:p>
    <w:sectPr w:rsidR="00165C17">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C17"/>
    <w:rsid w:val="00015D25"/>
    <w:rsid w:val="00165C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F38E0-7269-40CE-8319-6261EAE7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56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113" w:type="dxa"/>
      </w:tblCellMar>
    </w:tblPr>
  </w:style>
  <w:style w:type="table" w:customStyle="1" w:styleId="a0">
    <w:basedOn w:val="TableNormal"/>
    <w:tblPr>
      <w:tblStyleRowBandSize w:val="1"/>
      <w:tblStyleColBandSize w:val="1"/>
      <w:tblCellMar>
        <w:top w:w="0" w:type="dxa"/>
        <w:left w:w="0" w:type="dxa"/>
        <w:bottom w:w="0"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HNuCcPbHH0LUXUwZ+DN00Qocw==">CgMxLjAyDmguOHFjNXN2bTBuNDM1OAByITFFdi03SkdCX3lENDJpX3lFZThXZDNtWWo0d283SWRkMg==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4669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S</dc:creator>
  <cp:lastModifiedBy>senado</cp:lastModifiedBy>
  <cp:revision>2</cp:revision>
  <dcterms:created xsi:type="dcterms:W3CDTF">2025-06-05T15:39:00Z</dcterms:created>
  <dcterms:modified xsi:type="dcterms:W3CDTF">2025-06-05T15:39:00Z</dcterms:modified>
</cp:coreProperties>
</file>