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90" w:rsidRPr="00980DEA" w:rsidRDefault="00962E90" w:rsidP="00980DEA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Century Gothic" w:hAnsi="Century Gothic"/>
          <w:b/>
          <w:bCs/>
          <w:color w:val="000000"/>
        </w:rPr>
      </w:pPr>
    </w:p>
    <w:p w:rsidR="007E73E7" w:rsidRPr="00980DEA" w:rsidRDefault="007E73E7" w:rsidP="00980DEA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2820" w:firstLine="720"/>
        <w:rPr>
          <w:rFonts w:ascii="Century Gothic" w:hAnsi="Century Gothic"/>
          <w:b/>
          <w:bCs/>
          <w:color w:val="000000"/>
        </w:rPr>
      </w:pPr>
      <w:r w:rsidRPr="00980DEA">
        <w:rPr>
          <w:rFonts w:ascii="Century Gothic" w:hAnsi="Century Gothic"/>
          <w:b/>
          <w:bCs/>
          <w:color w:val="000000"/>
        </w:rPr>
        <w:t>MENSAJE</w:t>
      </w:r>
    </w:p>
    <w:p w:rsidR="007E73E7" w:rsidRPr="00980DEA" w:rsidRDefault="007E73E7" w:rsidP="007E73E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20"/>
        <w:jc w:val="both"/>
        <w:rPr>
          <w:rFonts w:ascii="Century Gothic" w:hAnsi="Century Gothic"/>
          <w:b/>
          <w:bCs/>
          <w:color w:val="000000"/>
        </w:rPr>
      </w:pPr>
    </w:p>
    <w:p w:rsidR="007E73E7" w:rsidRPr="00980DEA" w:rsidRDefault="007E73E7" w:rsidP="007E73E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20"/>
        <w:jc w:val="both"/>
        <w:rPr>
          <w:rFonts w:ascii="Century Gothic" w:hAnsi="Century Gothic"/>
          <w:b/>
          <w:bCs/>
          <w:color w:val="000000"/>
        </w:rPr>
      </w:pPr>
      <w:r w:rsidRPr="00980DEA">
        <w:rPr>
          <w:rFonts w:ascii="Century Gothic" w:hAnsi="Century Gothic"/>
          <w:b/>
          <w:bCs/>
          <w:color w:val="000000"/>
        </w:rPr>
        <w:t>A LA HONORABLE LEGISLATURA</w:t>
      </w:r>
    </w:p>
    <w:p w:rsidR="00D93002" w:rsidRPr="00980DEA" w:rsidRDefault="007E73E7" w:rsidP="009B728E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  <w:r w:rsidRPr="00980DEA">
        <w:rPr>
          <w:rFonts w:ascii="Century Gothic" w:hAnsi="Century Gothic" w:cstheme="minorHAnsi"/>
        </w:rPr>
        <w:t xml:space="preserve">Tengo el agrado de dirigirme a ese Honorable Cuerpo, con el objeto de someter a su consideración un proyecto de </w:t>
      </w:r>
      <w:r w:rsidR="00D93002" w:rsidRPr="00980DEA">
        <w:rPr>
          <w:rFonts w:ascii="Century Gothic" w:hAnsi="Century Gothic" w:cstheme="minorHAnsi"/>
        </w:rPr>
        <w:t xml:space="preserve">ley motivado </w:t>
      </w:r>
      <w:r w:rsidR="009B728E" w:rsidRPr="00980DEA">
        <w:rPr>
          <w:rFonts w:ascii="Century Gothic" w:hAnsi="Century Gothic" w:cstheme="minorHAnsi"/>
        </w:rPr>
        <w:t>por una</w:t>
      </w:r>
      <w:r w:rsidR="00D93002" w:rsidRPr="00980DEA">
        <w:rPr>
          <w:rFonts w:ascii="Century Gothic" w:hAnsi="Century Gothic" w:cstheme="minorHAnsi"/>
        </w:rPr>
        <w:t xml:space="preserve"> solicitud de donación efectuada por </w:t>
      </w:r>
      <w:r w:rsidR="009B728E" w:rsidRPr="00980DEA">
        <w:rPr>
          <w:rFonts w:ascii="Century Gothic" w:hAnsi="Century Gothic" w:cstheme="minorHAnsi"/>
        </w:rPr>
        <w:t>la Municipalidad de Ceibas a favor del Superior Gobierno de Entre Ríos de un inmueble identificado en Plano de mensura Nº 110.208, Partida Provincial Nº 139940 pr</w:t>
      </w:r>
      <w:r w:rsidR="00D93002" w:rsidRPr="00980DEA">
        <w:rPr>
          <w:rFonts w:ascii="Century Gothic" w:hAnsi="Century Gothic" w:cstheme="minorHAnsi"/>
        </w:rPr>
        <w:t>opiedad del</w:t>
      </w:r>
      <w:r w:rsidR="009B728E" w:rsidRPr="00980DEA">
        <w:rPr>
          <w:rFonts w:ascii="Century Gothic" w:hAnsi="Century Gothic" w:cstheme="minorHAnsi"/>
        </w:rPr>
        <w:t>a Municipalidad de Ceibas</w:t>
      </w:r>
      <w:r w:rsidR="00D93002" w:rsidRPr="00980DEA">
        <w:rPr>
          <w:rFonts w:ascii="Century Gothic" w:hAnsi="Century Gothic" w:cstheme="minorHAnsi"/>
        </w:rPr>
        <w:t>.</w:t>
      </w:r>
    </w:p>
    <w:p w:rsidR="005A657E" w:rsidRPr="00980DEA" w:rsidRDefault="009B728E" w:rsidP="00CE69BD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  <w:r w:rsidRPr="00980DEA">
        <w:rPr>
          <w:rFonts w:ascii="Century Gothic" w:hAnsi="Century Gothic" w:cstheme="minorHAnsi"/>
        </w:rPr>
        <w:t>M</w:t>
      </w:r>
      <w:r w:rsidR="00264C4D" w:rsidRPr="00980DEA">
        <w:rPr>
          <w:rFonts w:ascii="Century Gothic" w:hAnsi="Century Gothic" w:cstheme="minorHAnsi"/>
        </w:rPr>
        <w:t xml:space="preserve">ediante Ordenanza Nº 10/2023 sancionada en fecha 25 de agosto de 2023 y promulgada mediante Decreto Nº 346/2023, </w:t>
      </w:r>
      <w:r w:rsidRPr="00980DEA">
        <w:rPr>
          <w:rFonts w:ascii="Century Gothic" w:hAnsi="Century Gothic" w:cstheme="minorHAnsi"/>
        </w:rPr>
        <w:t>se dispone la donación</w:t>
      </w:r>
      <w:r w:rsidR="00264C4D" w:rsidRPr="00980DEA">
        <w:rPr>
          <w:rFonts w:ascii="Century Gothic" w:hAnsi="Century Gothic" w:cstheme="minorHAnsi"/>
        </w:rPr>
        <w:t xml:space="preserve"> a favor del Superior Gobiern</w:t>
      </w:r>
      <w:r w:rsidRPr="00980DEA">
        <w:rPr>
          <w:rFonts w:ascii="Century Gothic" w:hAnsi="Century Gothic" w:cstheme="minorHAnsi"/>
        </w:rPr>
        <w:t>o de la Provincia de Entre Ríos del inmueble referenciado.</w:t>
      </w:r>
    </w:p>
    <w:p w:rsidR="009B728E" w:rsidRPr="00980DEA" w:rsidRDefault="009B728E" w:rsidP="009B728E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  <w:r w:rsidRPr="00980DEA">
        <w:rPr>
          <w:rFonts w:ascii="Century Gothic" w:hAnsi="Century Gothic" w:cstheme="minorHAnsi"/>
        </w:rPr>
        <w:t xml:space="preserve">Dicha donación se encuadra en el marco legal establecido por el Art. 81 1er párrafo de la Constitución de la Provincia de Entre Ríos y la ley de Contabilidad Nº 5140 (T.O </w:t>
      </w:r>
      <w:proofErr w:type="spellStart"/>
      <w:r w:rsidRPr="00980DEA">
        <w:rPr>
          <w:rFonts w:ascii="Century Gothic" w:hAnsi="Century Gothic" w:cstheme="minorHAnsi"/>
        </w:rPr>
        <w:t>Dec</w:t>
      </w:r>
      <w:proofErr w:type="spellEnd"/>
      <w:r w:rsidRPr="00980DEA">
        <w:rPr>
          <w:rFonts w:ascii="Century Gothic" w:hAnsi="Century Gothic" w:cstheme="minorHAnsi"/>
        </w:rPr>
        <w:t xml:space="preserve"> Nº 404/95 MEOSP y </w:t>
      </w:r>
      <w:proofErr w:type="spellStart"/>
      <w:r w:rsidRPr="00980DEA">
        <w:rPr>
          <w:rFonts w:ascii="Century Gothic" w:hAnsi="Century Gothic" w:cstheme="minorHAnsi"/>
        </w:rPr>
        <w:t>modif</w:t>
      </w:r>
      <w:proofErr w:type="spellEnd"/>
      <w:r w:rsidRPr="00980DEA">
        <w:rPr>
          <w:rFonts w:ascii="Century Gothic" w:hAnsi="Century Gothic" w:cstheme="minorHAnsi"/>
        </w:rPr>
        <w:t>).</w:t>
      </w:r>
    </w:p>
    <w:p w:rsidR="009B728E" w:rsidRPr="00980DEA" w:rsidRDefault="009B728E" w:rsidP="009B728E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  <w:r w:rsidRPr="00980DEA">
        <w:rPr>
          <w:rFonts w:ascii="Century Gothic" w:hAnsi="Century Gothic" w:cstheme="minorHAnsi"/>
        </w:rPr>
        <w:t>El Art 59º de la Ley de Contabilidad Nº 5140 atribuye la competencia específica a las autoridades superiores de los Poderes del Estado y organismos especialmente autorizados por ley, o de los funcionarios a quienes aquéllas deleguen tal facultad, para aceptar las donaciones a favor de la Provincia. Atento a la normativa reseñada precedentemente, el procedimiento de formalización de la voluntad de la Administración para el caso concreto requiere de dos etapas complementarias y sucesivas: la autorización exigida por el Art 81º segundo párrafo de la Constitución Provincial, competencia propia del Poder Legislativo, y la posterior aceptación de la oferta de donación, competencia material prevista para el Poder Ejecutivo.</w:t>
      </w:r>
    </w:p>
    <w:p w:rsidR="009B728E" w:rsidRPr="00980DEA" w:rsidRDefault="009B728E" w:rsidP="009B728E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  <w:r w:rsidRPr="00980DEA">
        <w:rPr>
          <w:rFonts w:ascii="Century Gothic" w:hAnsi="Century Gothic" w:cstheme="minorHAnsi"/>
        </w:rPr>
        <w:lastRenderedPageBreak/>
        <w:t>Para que se pueda dar esta formalización de la voluntad Administrativa es necesario contar con la aprobación del presente proyecto de ley.</w:t>
      </w:r>
    </w:p>
    <w:p w:rsidR="005A657E" w:rsidRPr="00980DEA" w:rsidRDefault="009B728E" w:rsidP="00CE69BD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  <w:r w:rsidRPr="00980DEA">
        <w:rPr>
          <w:rFonts w:ascii="Century Gothic" w:hAnsi="Century Gothic" w:cstheme="minorHAnsi"/>
        </w:rPr>
        <w:t xml:space="preserve">Asimismo, </w:t>
      </w:r>
      <w:r w:rsidR="005A657E" w:rsidRPr="00980DEA">
        <w:rPr>
          <w:rFonts w:ascii="Century Gothic" w:hAnsi="Century Gothic" w:cstheme="minorHAnsi"/>
        </w:rPr>
        <w:t xml:space="preserve">dicha donación </w:t>
      </w:r>
      <w:r w:rsidRPr="00980DEA">
        <w:rPr>
          <w:rFonts w:ascii="Century Gothic" w:hAnsi="Century Gothic" w:cstheme="minorHAnsi"/>
        </w:rPr>
        <w:t xml:space="preserve">establece el cargo de afectar el inmueble de referencia </w:t>
      </w:r>
      <w:r w:rsidR="005A657E" w:rsidRPr="00980DEA">
        <w:rPr>
          <w:rFonts w:ascii="Century Gothic" w:hAnsi="Century Gothic" w:cstheme="minorHAnsi"/>
        </w:rPr>
        <w:t>al uso exclusivo del Superior Tribunal de Justicia de Entre Ríos con destino a la construcción del Juzgado de Paz de la ciudad de Ceibas y/o cualquier otra dependencia del Poder Judicial.</w:t>
      </w:r>
    </w:p>
    <w:p w:rsidR="006019F6" w:rsidRPr="00980DEA" w:rsidRDefault="007E73E7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  <w:r w:rsidRPr="00980DEA">
        <w:rPr>
          <w:rFonts w:ascii="Century Gothic" w:hAnsi="Century Gothic" w:cstheme="minorHAnsi"/>
        </w:rPr>
        <w:t xml:space="preserve">Por los motivos expuestos, remito el presente </w:t>
      </w:r>
      <w:r w:rsidR="00CE69BD" w:rsidRPr="00980DEA">
        <w:rPr>
          <w:rFonts w:ascii="Century Gothic" w:hAnsi="Century Gothic" w:cstheme="minorHAnsi"/>
        </w:rPr>
        <w:t xml:space="preserve">proyecto esperando poder contar </w:t>
      </w:r>
      <w:r w:rsidRPr="00980DEA">
        <w:rPr>
          <w:rFonts w:ascii="Century Gothic" w:hAnsi="Century Gothic" w:cstheme="minorHAnsi"/>
        </w:rPr>
        <w:t>con el acompañamiento de los Sres. Legisladores.</w:t>
      </w:r>
    </w:p>
    <w:p w:rsidR="006019F6" w:rsidRDefault="006019F6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63646F" w:rsidRPr="00980DEA" w:rsidRDefault="0063646F" w:rsidP="006019F6">
      <w:pPr>
        <w:spacing w:line="360" w:lineRule="auto"/>
        <w:ind w:firstLine="720"/>
        <w:jc w:val="both"/>
        <w:rPr>
          <w:rFonts w:ascii="Century Gothic" w:hAnsi="Century Gothic" w:cstheme="minorHAnsi"/>
        </w:rPr>
      </w:pPr>
    </w:p>
    <w:p w:rsidR="00227181" w:rsidRPr="00980DEA" w:rsidRDefault="00227181" w:rsidP="0063646F">
      <w:pPr>
        <w:spacing w:line="360" w:lineRule="auto"/>
        <w:ind w:firstLine="720"/>
        <w:jc w:val="both"/>
        <w:rPr>
          <w:rFonts w:ascii="Century Gothic" w:eastAsia="Times New Roman" w:hAnsi="Century Gothic" w:cs="Times New Roman"/>
          <w:lang w:eastAsia="es-MX"/>
        </w:rPr>
      </w:pPr>
      <w:r w:rsidRPr="00980DEA">
        <w:rPr>
          <w:rFonts w:ascii="Century Gothic" w:eastAsia="Times New Roman" w:hAnsi="Century Gothic" w:cs="Arial"/>
          <w:b/>
          <w:bCs/>
          <w:color w:val="000000"/>
          <w:lang w:eastAsia="es-MX"/>
        </w:rPr>
        <w:lastRenderedPageBreak/>
        <w:t>LA LEGISLATURA DE LA PROVINCIA DE ENTRE RÍOS SANCIONA CON FUERZA DE</w:t>
      </w:r>
      <w:r w:rsidRPr="00980DEA">
        <w:rPr>
          <w:rFonts w:ascii="Century Gothic" w:eastAsia="Times New Roman" w:hAnsi="Century Gothic" w:cs="Arial"/>
          <w:color w:val="000000"/>
          <w:lang w:eastAsia="es-MX"/>
        </w:rPr>
        <w:t> </w:t>
      </w:r>
    </w:p>
    <w:p w:rsidR="00227181" w:rsidRPr="00980DEA" w:rsidRDefault="00227181" w:rsidP="00227181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es-MX"/>
        </w:rPr>
      </w:pPr>
      <w:r w:rsidRPr="00980DEA">
        <w:rPr>
          <w:rFonts w:ascii="Century Gothic" w:eastAsia="Times New Roman" w:hAnsi="Century Gothic" w:cs="Arial"/>
          <w:b/>
          <w:bCs/>
          <w:color w:val="000000"/>
          <w:lang w:eastAsia="es-MX"/>
        </w:rPr>
        <w:t>L E Y:</w:t>
      </w:r>
    </w:p>
    <w:p w:rsidR="00227181" w:rsidRPr="00980DEA" w:rsidRDefault="00227181" w:rsidP="0022718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es-MX"/>
        </w:rPr>
      </w:pPr>
      <w:r w:rsidRPr="00980DEA">
        <w:rPr>
          <w:rFonts w:ascii="Century Gothic" w:eastAsia="Times New Roman" w:hAnsi="Century Gothic" w:cs="Arial"/>
          <w:color w:val="000000"/>
          <w:lang w:eastAsia="es-MX"/>
        </w:rPr>
        <w:t> </w:t>
      </w:r>
      <w:r w:rsidRPr="00980DEA">
        <w:rPr>
          <w:rFonts w:ascii="Century Gothic" w:eastAsia="Times New Roman" w:hAnsi="Century Gothic" w:cs="Arial"/>
          <w:b/>
          <w:bCs/>
          <w:color w:val="000000"/>
          <w:lang w:eastAsia="es-MX"/>
        </w:rPr>
        <w:t> </w:t>
      </w:r>
    </w:p>
    <w:p w:rsidR="00CE644F" w:rsidRPr="00980DEA" w:rsidRDefault="00227181" w:rsidP="00227181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980DEA"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  <w:t>ARTÍCULO 1º.-</w:t>
      </w:r>
      <w:r w:rsidR="00332715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Autorizase al </w:t>
      </w:r>
      <w:r w:rsidR="008E5324" w:rsidRPr="00980DEA">
        <w:rPr>
          <w:rFonts w:ascii="Century Gothic" w:eastAsia="Times New Roman" w:hAnsi="Century Gothic" w:cs="Arial"/>
          <w:color w:val="000000"/>
          <w:lang w:eastAsia="es-MX"/>
        </w:rPr>
        <w:t>S</w:t>
      </w:r>
      <w:r w:rsidR="004E0596" w:rsidRPr="00980DEA">
        <w:rPr>
          <w:rFonts w:ascii="Century Gothic" w:eastAsia="Times New Roman" w:hAnsi="Century Gothic" w:cs="Arial"/>
          <w:color w:val="000000"/>
          <w:lang w:eastAsia="es-MX"/>
        </w:rPr>
        <w:t>uperior Gobierno de la Provincia de Entre Ríos a aceptar la donación formulada por la Municipalidad</w:t>
      </w:r>
      <w:r w:rsidR="00F03089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 de Ceibas</w:t>
      </w:r>
      <w:r w:rsidR="004E0596" w:rsidRPr="00980DEA">
        <w:rPr>
          <w:rFonts w:ascii="Century Gothic" w:eastAsia="Times New Roman" w:hAnsi="Century Gothic" w:cs="Arial"/>
          <w:color w:val="000000"/>
          <w:lang w:eastAsia="es-MX"/>
        </w:rPr>
        <w:t>, de un</w:t>
      </w:r>
      <w:r w:rsidR="00F03089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a fracción de un </w:t>
      </w:r>
      <w:r w:rsidR="00CE644F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 (1)</w:t>
      </w:r>
      <w:r w:rsidR="0066578B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 inmueble</w:t>
      </w:r>
      <w:r w:rsidR="00F03089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 propiedad de la Municipalidad de Ceibas,</w:t>
      </w:r>
      <w:r w:rsidR="00CE644F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 ubicado en</w:t>
      </w:r>
      <w:r w:rsidR="008E5324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 la Provincia de Entre Ríos</w:t>
      </w:r>
      <w:r w:rsidR="007E46DD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, </w:t>
      </w:r>
      <w:r w:rsidR="008E5324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Departamento </w:t>
      </w:r>
      <w:r w:rsidR="00555215" w:rsidRPr="00980DEA">
        <w:rPr>
          <w:rFonts w:ascii="Century Gothic" w:eastAsia="Times New Roman" w:hAnsi="Century Gothic" w:cs="Arial"/>
          <w:color w:val="000000"/>
          <w:lang w:eastAsia="es-MX"/>
        </w:rPr>
        <w:t>Islas del Ibicuy</w:t>
      </w:r>
      <w:r w:rsidR="00151B08" w:rsidRPr="00980DEA">
        <w:rPr>
          <w:rFonts w:ascii="Century Gothic" w:eastAsia="Times New Roman" w:hAnsi="Century Gothic" w:cs="Arial"/>
          <w:color w:val="000000"/>
          <w:lang w:eastAsia="es-MX"/>
        </w:rPr>
        <w:t>, Distrito Ceibas, Municipio de Ceibas,</w:t>
      </w:r>
      <w:r w:rsidR="00CE644F" w:rsidRPr="00980DEA">
        <w:rPr>
          <w:rFonts w:ascii="Century Gothic" w:eastAsia="Times New Roman" w:hAnsi="Century Gothic" w:cs="Arial"/>
          <w:color w:val="000000"/>
          <w:lang w:eastAsia="es-MX"/>
        </w:rPr>
        <w:t>Planta Urbana,</w:t>
      </w:r>
      <w:r w:rsidR="00151B08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 Plano </w:t>
      </w:r>
      <w:r w:rsidR="00F03089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de mensura </w:t>
      </w:r>
      <w:r w:rsidR="007C68A6">
        <w:rPr>
          <w:rFonts w:ascii="Century Gothic" w:eastAsia="Times New Roman" w:hAnsi="Century Gothic" w:cs="Arial"/>
          <w:color w:val="000000"/>
          <w:lang w:eastAsia="es-MX"/>
        </w:rPr>
        <w:t xml:space="preserve">Nº 110.208, Lote 1, </w:t>
      </w:r>
      <w:r w:rsidR="00F03089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Partida Provincial Nº 139940, con una </w:t>
      </w:r>
      <w:r w:rsidR="00151B08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Superficie </w:t>
      </w:r>
      <w:r w:rsidR="007C68A6">
        <w:rPr>
          <w:rFonts w:ascii="Century Gothic" w:eastAsia="Times New Roman" w:hAnsi="Century Gothic" w:cs="Arial"/>
          <w:color w:val="000000"/>
          <w:lang w:eastAsia="es-MX"/>
        </w:rPr>
        <w:t xml:space="preserve">según </w:t>
      </w:r>
      <w:r w:rsidR="00151B08" w:rsidRPr="00980DEA">
        <w:rPr>
          <w:rFonts w:ascii="Century Gothic" w:eastAsia="Times New Roman" w:hAnsi="Century Gothic" w:cs="Arial"/>
          <w:color w:val="000000"/>
          <w:lang w:eastAsia="es-MX"/>
        </w:rPr>
        <w:t>Mensura: SEISCIENTOS NOVENTA METROS CUADRADOS, CERO DEC</w:t>
      </w:r>
      <w:r w:rsidR="00F03089" w:rsidRPr="00980DEA">
        <w:rPr>
          <w:rFonts w:ascii="Century Gothic" w:eastAsia="Times New Roman" w:hAnsi="Century Gothic" w:cs="Arial"/>
          <w:color w:val="000000"/>
          <w:lang w:eastAsia="es-MX"/>
        </w:rPr>
        <w:t>IMETROS CUADRADOS (690,00 m2)</w:t>
      </w:r>
      <w:r w:rsidR="00CE644F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, cuyos límites y linderos son: </w:t>
      </w:r>
    </w:p>
    <w:p w:rsidR="00555215" w:rsidRPr="00980DEA" w:rsidRDefault="00555215" w:rsidP="00227181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:rsidR="00CE644F" w:rsidRPr="00980DEA" w:rsidRDefault="00CE644F" w:rsidP="00227181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980DEA">
        <w:rPr>
          <w:rFonts w:ascii="Century Gothic" w:eastAsia="Times New Roman" w:hAnsi="Century Gothic" w:cs="Arial"/>
          <w:b/>
          <w:color w:val="000000"/>
          <w:lang w:eastAsia="es-MX"/>
        </w:rPr>
        <w:t>NORTE:</w:t>
      </w:r>
      <w:r w:rsidRPr="00980DEA">
        <w:rPr>
          <w:rFonts w:ascii="Century Gothic" w:eastAsia="Times New Roman" w:hAnsi="Century Gothic" w:cs="Arial"/>
          <w:color w:val="000000"/>
          <w:lang w:eastAsia="es-MX"/>
        </w:rPr>
        <w:t xml:space="preserve"> Recta </w:t>
      </w:r>
      <w:r w:rsidR="00555215" w:rsidRPr="00980DEA">
        <w:rPr>
          <w:rFonts w:ascii="Century Gothic" w:eastAsia="Times New Roman" w:hAnsi="Century Gothic" w:cs="Arial"/>
          <w:color w:val="000000"/>
          <w:lang w:eastAsia="es-MX"/>
        </w:rPr>
        <w:t>7-4 al S-88º26’</w:t>
      </w:r>
      <w:r w:rsidR="009B728E" w:rsidRPr="00980DEA">
        <w:rPr>
          <w:rFonts w:ascii="Century Gothic" w:eastAsia="Times New Roman" w:hAnsi="Century Gothic" w:cs="Arial"/>
          <w:color w:val="000000"/>
          <w:lang w:eastAsia="es-MX"/>
        </w:rPr>
        <w:t>E de 23,00 metros lind</w:t>
      </w:r>
      <w:r w:rsidR="00555215" w:rsidRPr="00980DEA">
        <w:rPr>
          <w:rFonts w:ascii="Century Gothic" w:eastAsia="Times New Roman" w:hAnsi="Century Gothic" w:cs="Arial"/>
          <w:color w:val="000000"/>
          <w:lang w:eastAsia="es-MX"/>
        </w:rPr>
        <w:t>ando LOTE CALLE de MUNICIPALIDAD DE CEIBAS.</w:t>
      </w:r>
    </w:p>
    <w:p w:rsidR="00CE644F" w:rsidRPr="00980DEA" w:rsidRDefault="00CE644F" w:rsidP="00227181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:rsidR="00235E9B" w:rsidRPr="00980DEA" w:rsidRDefault="00235E9B" w:rsidP="00227181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:rsidR="0066578B" w:rsidRPr="00980DEA" w:rsidRDefault="007E46DD" w:rsidP="00227181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  <w:r w:rsidRPr="00980DEA">
        <w:rPr>
          <w:rFonts w:ascii="Century Gothic" w:eastAsia="Times New Roman" w:hAnsi="Century Gothic" w:cs="Arial"/>
          <w:b/>
          <w:lang w:eastAsia="es-MX"/>
        </w:rPr>
        <w:t>ESTE:</w:t>
      </w:r>
      <w:r w:rsidR="0063646F">
        <w:rPr>
          <w:rFonts w:ascii="Century Gothic" w:eastAsia="Times New Roman" w:hAnsi="Century Gothic" w:cs="Arial"/>
          <w:b/>
          <w:lang w:eastAsia="es-MX"/>
        </w:rPr>
        <w:t xml:space="preserve"> </w:t>
      </w:r>
      <w:r w:rsidR="00555215" w:rsidRPr="00980DEA">
        <w:rPr>
          <w:rFonts w:ascii="Century Gothic" w:eastAsia="Times New Roman" w:hAnsi="Century Gothic" w:cs="Arial"/>
          <w:lang w:eastAsia="es-MX"/>
        </w:rPr>
        <w:t>Recta 4-5 al S-1º34’-0 de 30,00 metros lindando con MUNICIPALIDAD DE CEIBAS.</w:t>
      </w:r>
    </w:p>
    <w:p w:rsidR="00373814" w:rsidRPr="00980DEA" w:rsidRDefault="00373814" w:rsidP="00227181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</w:p>
    <w:p w:rsidR="0066578B" w:rsidRPr="00980DEA" w:rsidRDefault="007E46DD" w:rsidP="00227181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  <w:r w:rsidRPr="00980DEA">
        <w:rPr>
          <w:rFonts w:ascii="Century Gothic" w:eastAsia="Times New Roman" w:hAnsi="Century Gothic" w:cs="Arial"/>
          <w:b/>
          <w:lang w:eastAsia="es-MX"/>
        </w:rPr>
        <w:t xml:space="preserve">SUR: </w:t>
      </w:r>
      <w:r w:rsidR="00555215" w:rsidRPr="00980DEA">
        <w:rPr>
          <w:rFonts w:ascii="Century Gothic" w:eastAsia="Times New Roman" w:hAnsi="Century Gothic" w:cs="Arial"/>
          <w:lang w:eastAsia="es-MX"/>
        </w:rPr>
        <w:t xml:space="preserve">Recta 5-6 al N- 88º26’O de 23,00 metros lindando con MUNICIPALIDAD DE </w:t>
      </w:r>
      <w:r w:rsidR="009E30A7" w:rsidRPr="00980DEA">
        <w:rPr>
          <w:rFonts w:ascii="Century Gothic" w:eastAsia="Times New Roman" w:hAnsi="Century Gothic" w:cs="Arial"/>
          <w:lang w:eastAsia="es-MX"/>
        </w:rPr>
        <w:t xml:space="preserve">CEIBAS. </w:t>
      </w:r>
    </w:p>
    <w:p w:rsidR="00373814" w:rsidRPr="00980DEA" w:rsidRDefault="00373814" w:rsidP="00227181">
      <w:pPr>
        <w:spacing w:after="0" w:line="240" w:lineRule="auto"/>
        <w:jc w:val="both"/>
        <w:rPr>
          <w:rFonts w:ascii="Century Gothic" w:eastAsia="Times New Roman" w:hAnsi="Century Gothic" w:cs="Arial"/>
          <w:b/>
          <w:u w:val="single"/>
          <w:lang w:eastAsia="es-MX"/>
        </w:rPr>
      </w:pPr>
    </w:p>
    <w:p w:rsidR="0066578B" w:rsidRPr="00980DEA" w:rsidRDefault="007E46DD" w:rsidP="00227181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980DEA">
        <w:rPr>
          <w:rFonts w:ascii="Century Gothic" w:eastAsia="Times New Roman" w:hAnsi="Century Gothic" w:cs="Arial"/>
          <w:b/>
          <w:lang w:eastAsia="es-MX"/>
        </w:rPr>
        <w:t>OESTE:</w:t>
      </w:r>
      <w:r w:rsidR="00227181" w:rsidRPr="00980DEA">
        <w:rPr>
          <w:rFonts w:ascii="Century Gothic" w:eastAsia="Times New Roman" w:hAnsi="Century Gothic" w:cs="Arial"/>
          <w:color w:val="000000"/>
          <w:lang w:eastAsia="es-MX"/>
        </w:rPr>
        <w:t> </w:t>
      </w:r>
      <w:r w:rsidR="00555215" w:rsidRPr="00980DEA">
        <w:rPr>
          <w:rFonts w:ascii="Century Gothic" w:eastAsia="Times New Roman" w:hAnsi="Century Gothic" w:cs="Arial"/>
          <w:color w:val="000000"/>
          <w:lang w:eastAsia="es-MX"/>
        </w:rPr>
        <w:t xml:space="preserve">Recta 6-7 al N- 1º34’E de 30,00 metros lindando con continuación de calle LOS PINOS en propiedad de MUNICIPALIDAD DE CEIBAS. </w:t>
      </w:r>
    </w:p>
    <w:p w:rsidR="00555215" w:rsidRPr="00980DEA" w:rsidRDefault="00555215" w:rsidP="00227181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:rsidR="0066578B" w:rsidRPr="00980DEA" w:rsidRDefault="0066578B" w:rsidP="00227181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s-MX"/>
        </w:rPr>
      </w:pPr>
      <w:r w:rsidRPr="00980DEA"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  <w:t>ARTÍCULO 2º.-</w:t>
      </w:r>
      <w:r w:rsidR="00A81FA2" w:rsidRPr="00980DEA">
        <w:rPr>
          <w:rFonts w:ascii="Century Gothic" w:eastAsia="Times New Roman" w:hAnsi="Century Gothic" w:cs="Arial"/>
          <w:bCs/>
          <w:color w:val="000000"/>
          <w:lang w:eastAsia="es-MX"/>
        </w:rPr>
        <w:t xml:space="preserve">Establécese que la </w:t>
      </w:r>
      <w:r w:rsidRPr="00980DEA">
        <w:rPr>
          <w:rFonts w:ascii="Century Gothic" w:eastAsia="Times New Roman" w:hAnsi="Century Gothic" w:cs="Arial"/>
          <w:bCs/>
          <w:color w:val="000000"/>
          <w:lang w:eastAsia="es-MX"/>
        </w:rPr>
        <w:t xml:space="preserve">donación </w:t>
      </w:r>
      <w:r w:rsidR="00A81FA2" w:rsidRPr="00980DEA">
        <w:rPr>
          <w:rFonts w:ascii="Century Gothic" w:eastAsia="Times New Roman" w:hAnsi="Century Gothic" w:cs="Arial"/>
          <w:bCs/>
          <w:color w:val="000000"/>
          <w:lang w:eastAsia="es-MX"/>
        </w:rPr>
        <w:t xml:space="preserve">efectuada </w:t>
      </w:r>
      <w:r w:rsidRPr="00980DEA">
        <w:rPr>
          <w:rFonts w:ascii="Century Gothic" w:eastAsia="Times New Roman" w:hAnsi="Century Gothic" w:cs="Arial"/>
          <w:bCs/>
          <w:color w:val="000000"/>
          <w:lang w:eastAsia="es-MX"/>
        </w:rPr>
        <w:t>en el Artícu</w:t>
      </w:r>
      <w:r w:rsidR="00385FB1" w:rsidRPr="00980DEA">
        <w:rPr>
          <w:rFonts w:ascii="Century Gothic" w:eastAsia="Times New Roman" w:hAnsi="Century Gothic" w:cs="Arial"/>
          <w:bCs/>
          <w:color w:val="000000"/>
          <w:lang w:eastAsia="es-MX"/>
        </w:rPr>
        <w:t>lo 1º, se</w:t>
      </w:r>
      <w:r w:rsidR="00A81FA2" w:rsidRPr="00980DEA">
        <w:rPr>
          <w:rFonts w:ascii="Century Gothic" w:eastAsia="Times New Roman" w:hAnsi="Century Gothic" w:cs="Arial"/>
          <w:bCs/>
          <w:color w:val="000000"/>
          <w:lang w:eastAsia="es-MX"/>
        </w:rPr>
        <w:t>a con cargo de afectar el inmueble</w:t>
      </w:r>
      <w:r w:rsidR="00F03089" w:rsidRPr="00980DEA">
        <w:rPr>
          <w:rFonts w:ascii="Century Gothic" w:eastAsia="Times New Roman" w:hAnsi="Century Gothic" w:cs="Arial"/>
          <w:bCs/>
          <w:color w:val="000000"/>
          <w:lang w:eastAsia="es-MX"/>
        </w:rPr>
        <w:t xml:space="preserve"> al uso exclusivo del Superior Tribunal de Justicia de Entre Ríos con destino a la construcción del Juzgado de Paz de la Ciudad de Ceibas y/o cualquier otra dependencia del Poder Judicial</w:t>
      </w:r>
      <w:r w:rsidR="008E0DD5" w:rsidRPr="00980DEA">
        <w:rPr>
          <w:rFonts w:ascii="Century Gothic" w:eastAsia="Times New Roman" w:hAnsi="Century Gothic" w:cs="Arial"/>
          <w:bCs/>
          <w:color w:val="000000"/>
          <w:lang w:eastAsia="es-MX"/>
        </w:rPr>
        <w:t>.</w:t>
      </w:r>
      <w:r w:rsidR="008E0DD5" w:rsidRPr="00980DEA">
        <w:rPr>
          <w:rFonts w:ascii="Century Gothic" w:eastAsia="Times New Roman" w:hAnsi="Century Gothic" w:cs="Arial"/>
          <w:bCs/>
          <w:lang w:eastAsia="es-MX"/>
        </w:rPr>
        <w:t xml:space="preserve"> El cumplimiento de dicho cargo deberá </w:t>
      </w:r>
      <w:r w:rsidR="002A529C" w:rsidRPr="00980DEA">
        <w:rPr>
          <w:rFonts w:ascii="Century Gothic" w:eastAsia="Times New Roman" w:hAnsi="Century Gothic" w:cs="Arial"/>
          <w:bCs/>
          <w:lang w:eastAsia="es-MX"/>
        </w:rPr>
        <w:t xml:space="preserve">ser iniciado en un plazo no </w:t>
      </w:r>
      <w:r w:rsidR="008E0DD5" w:rsidRPr="00980DEA">
        <w:rPr>
          <w:rFonts w:ascii="Century Gothic" w:eastAsia="Times New Roman" w:hAnsi="Century Gothic" w:cs="Arial"/>
          <w:bCs/>
          <w:lang w:eastAsia="es-MX"/>
        </w:rPr>
        <w:t>mayor a dos años.</w:t>
      </w:r>
    </w:p>
    <w:p w:rsidR="0066578B" w:rsidRPr="00980DEA" w:rsidRDefault="0066578B" w:rsidP="00227181">
      <w:p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</w:p>
    <w:p w:rsidR="0066578B" w:rsidRPr="00980DEA" w:rsidRDefault="0066578B" w:rsidP="00227181">
      <w:p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  <w:r w:rsidRPr="00980DEA"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  <w:t xml:space="preserve">ARTÍCULO 3º.- </w:t>
      </w:r>
      <w:r w:rsidRPr="00980DEA">
        <w:rPr>
          <w:rFonts w:ascii="Century Gothic" w:eastAsia="Times New Roman" w:hAnsi="Century Gothic" w:cs="Arial"/>
          <w:bCs/>
          <w:color w:val="000000"/>
          <w:lang w:eastAsia="es-MX"/>
        </w:rPr>
        <w:t xml:space="preserve">Facúltese a la Escribanía Mayor de Gobierno a realizar los trámites </w:t>
      </w:r>
      <w:r w:rsidR="00692EDC" w:rsidRPr="00980DEA">
        <w:rPr>
          <w:rFonts w:ascii="Century Gothic" w:eastAsia="Times New Roman" w:hAnsi="Century Gothic" w:cs="Arial"/>
          <w:bCs/>
          <w:color w:val="000000"/>
          <w:lang w:eastAsia="es-MX"/>
        </w:rPr>
        <w:t>conducentes a la efectiva</w:t>
      </w:r>
      <w:r w:rsidR="00332715" w:rsidRPr="00980DEA">
        <w:rPr>
          <w:rFonts w:ascii="Century Gothic" w:eastAsia="Times New Roman" w:hAnsi="Century Gothic" w:cs="Arial"/>
          <w:bCs/>
          <w:color w:val="000000"/>
          <w:lang w:eastAsia="es-MX"/>
        </w:rPr>
        <w:t xml:space="preserve"> transferencia de</w:t>
      </w:r>
      <w:r w:rsidR="00692EDC" w:rsidRPr="00980DEA">
        <w:rPr>
          <w:rFonts w:ascii="Century Gothic" w:eastAsia="Times New Roman" w:hAnsi="Century Gothic" w:cs="Arial"/>
          <w:bCs/>
          <w:color w:val="000000"/>
          <w:lang w:eastAsia="es-MX"/>
        </w:rPr>
        <w:t>l</w:t>
      </w:r>
      <w:r w:rsidR="00332715" w:rsidRPr="00980DEA">
        <w:rPr>
          <w:rFonts w:ascii="Century Gothic" w:eastAsia="Times New Roman" w:hAnsi="Century Gothic" w:cs="Arial"/>
          <w:bCs/>
          <w:color w:val="000000"/>
          <w:lang w:eastAsia="es-MX"/>
        </w:rPr>
        <w:t xml:space="preserve"> dominio del inmueble in</w:t>
      </w:r>
      <w:r w:rsidR="00692EDC" w:rsidRPr="00980DEA">
        <w:rPr>
          <w:rFonts w:ascii="Century Gothic" w:eastAsia="Times New Roman" w:hAnsi="Century Gothic" w:cs="Arial"/>
          <w:bCs/>
          <w:color w:val="000000"/>
          <w:lang w:eastAsia="es-MX"/>
        </w:rPr>
        <w:t>dividualizado en el Artículo 1º, a favor de</w:t>
      </w:r>
      <w:bookmarkStart w:id="0" w:name="_GoBack"/>
      <w:bookmarkEnd w:id="0"/>
      <w:r w:rsidR="00692EDC" w:rsidRPr="00980DEA">
        <w:rPr>
          <w:rFonts w:ascii="Century Gothic" w:eastAsia="Times New Roman" w:hAnsi="Century Gothic" w:cs="Arial"/>
          <w:bCs/>
          <w:color w:val="000000"/>
          <w:lang w:eastAsia="es-MX"/>
        </w:rPr>
        <w:t xml:space="preserve">l Superior Gobierno </w:t>
      </w:r>
      <w:r w:rsidR="00CE644F" w:rsidRPr="00980DEA">
        <w:rPr>
          <w:rFonts w:ascii="Century Gothic" w:eastAsia="Times New Roman" w:hAnsi="Century Gothic" w:cs="Arial"/>
          <w:bCs/>
          <w:color w:val="000000"/>
          <w:lang w:eastAsia="es-MX"/>
        </w:rPr>
        <w:t>de la Provincia de Entre Ríos.-</w:t>
      </w:r>
    </w:p>
    <w:p w:rsidR="00332715" w:rsidRPr="00980DEA" w:rsidRDefault="00332715" w:rsidP="0022718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</w:pPr>
    </w:p>
    <w:p w:rsidR="00332715" w:rsidRPr="00980DEA" w:rsidRDefault="00332715" w:rsidP="00227181">
      <w:p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  <w:r w:rsidRPr="00980DEA"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  <w:t xml:space="preserve">ARTÍCULO 4º.- </w:t>
      </w:r>
      <w:r w:rsidR="00692EDC" w:rsidRPr="00980DEA">
        <w:rPr>
          <w:rFonts w:ascii="Century Gothic" w:eastAsia="Times New Roman" w:hAnsi="Century Gothic" w:cs="Arial"/>
          <w:bCs/>
          <w:color w:val="000000"/>
          <w:lang w:eastAsia="es-MX"/>
        </w:rPr>
        <w:t>Comuníquese, etcétera.-</w:t>
      </w:r>
    </w:p>
    <w:p w:rsidR="0066578B" w:rsidRPr="00980DEA" w:rsidRDefault="0066578B" w:rsidP="00227181">
      <w:pPr>
        <w:spacing w:after="0" w:line="240" w:lineRule="auto"/>
        <w:jc w:val="both"/>
        <w:rPr>
          <w:rFonts w:ascii="Century Gothic" w:eastAsia="Times New Roman" w:hAnsi="Century Gothic" w:cs="Arial"/>
          <w:b/>
          <w:u w:val="single"/>
          <w:lang w:eastAsia="es-MX"/>
        </w:rPr>
      </w:pPr>
    </w:p>
    <w:p w:rsidR="00137E51" w:rsidRPr="00980DEA" w:rsidRDefault="00137E51">
      <w:pPr>
        <w:rPr>
          <w:rFonts w:ascii="Century Gothic" w:hAnsi="Century Gothic"/>
        </w:rPr>
      </w:pPr>
    </w:p>
    <w:sectPr w:rsidR="00137E51" w:rsidRPr="00980DEA" w:rsidSect="00980DEA">
      <w:pgSz w:w="11907" w:h="16839" w:code="9"/>
      <w:pgMar w:top="340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181"/>
    <w:rsid w:val="0004704F"/>
    <w:rsid w:val="00062A4F"/>
    <w:rsid w:val="0008706C"/>
    <w:rsid w:val="00100177"/>
    <w:rsid w:val="00137E51"/>
    <w:rsid w:val="00151B08"/>
    <w:rsid w:val="001644D8"/>
    <w:rsid w:val="00227181"/>
    <w:rsid w:val="00235E9B"/>
    <w:rsid w:val="00264C4D"/>
    <w:rsid w:val="002A529C"/>
    <w:rsid w:val="00331125"/>
    <w:rsid w:val="00332715"/>
    <w:rsid w:val="0035733D"/>
    <w:rsid w:val="00373814"/>
    <w:rsid w:val="00385FB1"/>
    <w:rsid w:val="00442441"/>
    <w:rsid w:val="004B0D71"/>
    <w:rsid w:val="004E0596"/>
    <w:rsid w:val="00545BB7"/>
    <w:rsid w:val="00555215"/>
    <w:rsid w:val="005A657E"/>
    <w:rsid w:val="006019F6"/>
    <w:rsid w:val="0063646F"/>
    <w:rsid w:val="0066578B"/>
    <w:rsid w:val="00692EDC"/>
    <w:rsid w:val="00705213"/>
    <w:rsid w:val="00753335"/>
    <w:rsid w:val="007C68A6"/>
    <w:rsid w:val="007E46DD"/>
    <w:rsid w:val="007E56E0"/>
    <w:rsid w:val="007E73E7"/>
    <w:rsid w:val="00802FB1"/>
    <w:rsid w:val="00871CCF"/>
    <w:rsid w:val="00877D62"/>
    <w:rsid w:val="008B0ECF"/>
    <w:rsid w:val="008E0DD5"/>
    <w:rsid w:val="008E5324"/>
    <w:rsid w:val="008E591F"/>
    <w:rsid w:val="0091563E"/>
    <w:rsid w:val="00936BE6"/>
    <w:rsid w:val="00962E90"/>
    <w:rsid w:val="00980DEA"/>
    <w:rsid w:val="009B728E"/>
    <w:rsid w:val="009E30A7"/>
    <w:rsid w:val="009E73CA"/>
    <w:rsid w:val="00A81FA2"/>
    <w:rsid w:val="00B11129"/>
    <w:rsid w:val="00B11D86"/>
    <w:rsid w:val="00B2607A"/>
    <w:rsid w:val="00B74A8C"/>
    <w:rsid w:val="00BE50E3"/>
    <w:rsid w:val="00CE644F"/>
    <w:rsid w:val="00CE69BD"/>
    <w:rsid w:val="00D3791E"/>
    <w:rsid w:val="00D93002"/>
    <w:rsid w:val="00E703C0"/>
    <w:rsid w:val="00EE651B"/>
    <w:rsid w:val="00EF05BF"/>
    <w:rsid w:val="00F03089"/>
    <w:rsid w:val="00FE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4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EE8F-3F7C-4270-9851-38E43346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cp:lastPrinted>2025-03-28T13:30:00Z</cp:lastPrinted>
  <dcterms:created xsi:type="dcterms:W3CDTF">2025-03-17T13:53:00Z</dcterms:created>
  <dcterms:modified xsi:type="dcterms:W3CDTF">2025-03-28T13:30:00Z</dcterms:modified>
</cp:coreProperties>
</file>