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98" w:rsidRDefault="003D70FB" w:rsidP="003D70FB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  <w:r>
        <w:rPr>
          <w:rFonts w:ascii="Arial-BoldMT" w:eastAsia="Times New Roman" w:hAnsi="Arial-BoldMT" w:cs="Times New Roman"/>
          <w:bCs/>
          <w:noProof/>
          <w:color w:val="000000"/>
          <w:sz w:val="24"/>
          <w:szCs w:val="24"/>
          <w:lang w:eastAsia="es-AR"/>
        </w:rPr>
        <w:drawing>
          <wp:inline distT="0" distB="0" distL="0" distR="0" wp14:anchorId="196ECFE3" wp14:editId="4B29F4FB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898" w:rsidRDefault="00AF1898" w:rsidP="00AF1898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</w:p>
    <w:p w:rsidR="00AF1898" w:rsidRPr="00AF1898" w:rsidRDefault="00AF1898" w:rsidP="00AF1898">
      <w:pPr>
        <w:spacing w:after="0" w:line="48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  <w:r w:rsidRPr="00AF1898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  <w:t>LA LEGISLATURA DE LA PROVINCIA DE ENTRE RIOS SANCIONA CON FUERZA DE:</w:t>
      </w:r>
    </w:p>
    <w:p w:rsidR="00AF1898" w:rsidRDefault="00AF1898" w:rsidP="00AF1898">
      <w:pPr>
        <w:spacing w:after="0" w:line="48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  <w:r w:rsidRPr="00AF1898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  <w:t>L E Y</w:t>
      </w:r>
    </w:p>
    <w:p w:rsidR="00AF1898" w:rsidRDefault="00AF1898" w:rsidP="00AF1898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</w:p>
    <w:p w:rsidR="00AF1898" w:rsidRPr="00AF1898" w:rsidRDefault="00AF1898" w:rsidP="00AF1898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</w:p>
    <w:p w:rsidR="00B47BE2" w:rsidRDefault="00AF1898" w:rsidP="00B47BE2">
      <w:pPr>
        <w:spacing w:after="0"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  <w:r w:rsidRPr="00AF1898"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  <w:t>ARTÍCULO 1</w:t>
      </w:r>
      <w:r w:rsidR="0080453D"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  <w:t>º</w:t>
      </w:r>
      <w:r w:rsidRPr="00AF1898"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  <w:t>: Sustitúyase el inciso C del artículo 25 de la Ley N</w:t>
      </w:r>
      <w:r w:rsidR="0080453D"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  <w:t>º</w:t>
      </w:r>
      <w:r w:rsidRPr="00AF1898"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  <w:t xml:space="preserve">10644, el que quedará </w:t>
      </w:r>
      <w:r w:rsidR="00B47BE2"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  <w:t>redactado de la siguiente forma:</w:t>
      </w:r>
    </w:p>
    <w:p w:rsidR="00AF1898" w:rsidRDefault="00AF1898" w:rsidP="00B47BE2">
      <w:pPr>
        <w:spacing w:after="0"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  <w:r w:rsidRPr="00AF1898"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  <w:t>C) “Reglamentar el ordenamiento urbanístico de la Comuna, regulando su uso, ocupación, subdivisión del suelo, afectación a Propiedad Horizontal y/o Propiedad Horizontal Especial, así como el desarr</w:t>
      </w:r>
      <w:r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  <w:t>ollo urbano en función social”.</w:t>
      </w:r>
    </w:p>
    <w:p w:rsidR="00AF1898" w:rsidRPr="00AF1898" w:rsidRDefault="00AF1898" w:rsidP="00AF1898">
      <w:pPr>
        <w:spacing w:after="0"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6E4040" w:rsidRDefault="00C26FBB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  <w:r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  <w:t>ARTÍCULO</w:t>
      </w:r>
      <w:r w:rsidR="00AF1898"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  <w:t xml:space="preserve"> 2</w:t>
      </w:r>
      <w:r w:rsidR="0080453D"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  <w:t>º</w:t>
      </w:r>
      <w:r w:rsidR="00AF1898"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  <w:t>: De forma.</w:t>
      </w: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AF1898" w:rsidRDefault="003D70FB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  <w:r>
        <w:rPr>
          <w:rFonts w:ascii="Arial-BoldMT" w:eastAsia="Times New Roman" w:hAnsi="Arial-BoldMT" w:cs="Times New Roman"/>
          <w:bCs/>
          <w:noProof/>
          <w:color w:val="000000"/>
          <w:sz w:val="24"/>
          <w:szCs w:val="24"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898" w:rsidRDefault="00AF1898" w:rsidP="00AF1898">
      <w:pPr>
        <w:spacing w:line="276" w:lineRule="auto"/>
        <w:rPr>
          <w:rFonts w:ascii="Arial-BoldMT" w:eastAsia="Times New Roman" w:hAnsi="Arial-BoldMT" w:cs="Times New Roman"/>
          <w:bCs/>
          <w:color w:val="000000"/>
          <w:sz w:val="24"/>
          <w:szCs w:val="24"/>
          <w:lang w:eastAsia="es-AR"/>
        </w:rPr>
      </w:pPr>
    </w:p>
    <w:p w:rsidR="00C26FBB" w:rsidRDefault="00C26FBB" w:rsidP="00AF1898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</w:p>
    <w:p w:rsidR="00C26FBB" w:rsidRDefault="00C26FBB" w:rsidP="00AF1898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</w:p>
    <w:p w:rsidR="00AF1898" w:rsidRDefault="00AF1898" w:rsidP="00AF1898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  <w:r w:rsidRPr="00AF1898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  <w:t xml:space="preserve">F U N D A M E N T O </w:t>
      </w:r>
      <w:r w:rsidR="00C26FBB" w:rsidRPr="00AF1898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  <w:t>S:</w:t>
      </w:r>
    </w:p>
    <w:p w:rsidR="003D70FB" w:rsidRDefault="003D70FB" w:rsidP="00AF1898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</w:p>
    <w:p w:rsidR="00AF1898" w:rsidRPr="00AF1898" w:rsidRDefault="00AF1898" w:rsidP="00AF1898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</w:pPr>
    </w:p>
    <w:p w:rsidR="00AF1898" w:rsidRPr="00AF1898" w:rsidRDefault="00AF1898" w:rsidP="00445FE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</w:pP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Que la ley 10644 de Comunas de la Provincia de Entre Ríos en su artículo 25</w:t>
      </w:r>
      <w:r w:rsidR="000813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º</w:t>
      </w: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 xml:space="preserve"> establece las facultades de los Consejos Comunales y particularmente el inciso c) establece que “los Consejos Comunales están facultados para participar en el ordenamiento urbanístico, edilicio y el fraccionamiento de tierras actuando conjuntamente y con los organismos provinciales competentes de acuerdo de acuerdo a lo dispuesto en la </w:t>
      </w:r>
      <w:r w:rsidR="00445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L</w:t>
      </w: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ey N</w:t>
      </w:r>
      <w:r w:rsidR="00445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º</w:t>
      </w: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6041 y sus decretos reglamentarios hasta tanto se sancione una nueva ley de presupuestos mínimos que garanticen la sustentabilidad del desarrollo territorial y brinde respaldo jurídico e instrumentos de gestión apropiados a las autoridades comunales...” Asimismo indica que: “Los planes de ordenamiento urbanístico de la Comunas se adoptarán y</w:t>
      </w:r>
      <w:r w:rsidR="00445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/</w:t>
      </w: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o modificarán con la aprobación del organismo provincial competente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.</w:t>
      </w: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”</w:t>
      </w:r>
    </w:p>
    <w:p w:rsidR="00AF1898" w:rsidRPr="00AF1898" w:rsidRDefault="00AF1898" w:rsidP="00445FE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Que el artículo 1</w:t>
      </w:r>
      <w:r w:rsidR="001B0D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º</w:t>
      </w: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 xml:space="preserve"> de la Ley </w:t>
      </w:r>
      <w:r w:rsidR="00074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Nº</w:t>
      </w: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6041 establece que la Dirección de Catastro no aprobar</w:t>
      </w:r>
      <w:r w:rsidR="002A0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á</w:t>
      </w: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 xml:space="preserve"> subdivisiones de inmuebles rurales, si las parcelas consecuencias de tal acto no representan cada una, por lo menos, una unidad económica agraria o cuando constituyéndose una de ellas el remanente del inmueble su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bdividido, pierda tal carácter.</w:t>
      </w:r>
    </w:p>
    <w:p w:rsidR="00AF1898" w:rsidRPr="00AF1898" w:rsidRDefault="00AF1898" w:rsidP="00445FE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</w:pP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Que el Decreto N</w:t>
      </w:r>
      <w:r w:rsidR="00074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º</w:t>
      </w: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 xml:space="preserve"> 2778/2018 MPIyS reglamenta la ley N</w:t>
      </w:r>
      <w:r w:rsidR="00074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º</w:t>
      </w: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6041 en lo referente a la regulación de las etapas y requisitos que imprime el trámite administrativo para la presentación y posterior aprobación de proyectos de subdivisión y urban</w:t>
      </w:r>
      <w:r w:rsidR="00C26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izaciones de inmuebles rurales.</w:t>
      </w:r>
    </w:p>
    <w:p w:rsidR="00AF1898" w:rsidRPr="00AF1898" w:rsidRDefault="00AF1898" w:rsidP="00445FE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</w:pP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 xml:space="preserve">Que la ley de Comunas tuvo sanción en el año 2018 y se entiende que una parte importante del plexo normativo ha tenido razón para ser aplicado en el nacimiento y sus primeros tiempos de vigencia y que al transitar su vida necesitó y necesitará adaptaciones a las necesidades propias de los estados </w:t>
      </w: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lastRenderedPageBreak/>
        <w:t>comunales, razón de ello fueron las diversas reformas</w:t>
      </w:r>
      <w:r w:rsidR="00C26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 xml:space="preserve"> introducidas a esta ley </w:t>
      </w:r>
      <w:r w:rsidR="000813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Nº</w:t>
      </w:r>
      <w:r w:rsidR="00C26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10644.</w:t>
      </w:r>
    </w:p>
    <w:p w:rsidR="00AF1898" w:rsidRPr="00AF1898" w:rsidRDefault="00AF1898" w:rsidP="00445FE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</w:pP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Que en su naturaleza jurídica las comunas se encuentran asimiladas a los municipios y nuestra Constitución Provincial adopta como principio el de la autonomía mun</w:t>
      </w:r>
      <w:r w:rsidR="00C26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icipal, ergo autonomía comunal.</w:t>
      </w:r>
    </w:p>
    <w:p w:rsidR="00AF1898" w:rsidRPr="00AF1898" w:rsidRDefault="00AF1898" w:rsidP="00445FE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</w:pP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 xml:space="preserve">Que conforme lo expuesto, se hace necesario dotar a las Comunas de las facultades propias en materia de urbanización y división, subdivisión de la tierra de jurisdicción </w:t>
      </w:r>
      <w:r w:rsidR="000813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c</w:t>
      </w: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omunal atento existe la jurisdicción comunal con autoridades constituidas, con autonomía y presupuesto propio.</w:t>
      </w:r>
    </w:p>
    <w:p w:rsidR="00AF1898" w:rsidRPr="00AF1898" w:rsidRDefault="00AF1898" w:rsidP="0008133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El otorgamiento de las facultades aquí conferidas a las Comunas deriva de que con autonomía cada una decide sobre su proyecto de urbanización adoptando criterios básicos y cuenta con su presupuesto y determinara con</w:t>
      </w:r>
      <w:r w:rsidR="00C26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forme ello la procedencia o no.</w:t>
      </w:r>
    </w:p>
    <w:p w:rsidR="00AF1898" w:rsidRPr="00AF1898" w:rsidRDefault="00AF1898" w:rsidP="00445FE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</w:pPr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Esta iniciativa influirá en la resolución de numerosos trámites que al día de hoy no encuentran resolución, además impactará sin dudas en el desarrollo y crecimiento de las Comunas Entrerrianas.-</w:t>
      </w:r>
    </w:p>
    <w:p w:rsidR="00AF1898" w:rsidRPr="00AF1898" w:rsidRDefault="00AF1898" w:rsidP="0008133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1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AR"/>
        </w:rPr>
        <w:t>Que por las razones invocadas y las que estoy dispuesto a brindar en el recinto al tiempo de su tratamiento es que solicito el acompañamiento de mis pares.</w:t>
      </w:r>
    </w:p>
    <w:sectPr w:rsidR="00AF1898" w:rsidRPr="00AF1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41"/>
    <w:rsid w:val="00074457"/>
    <w:rsid w:val="00081334"/>
    <w:rsid w:val="001B0D75"/>
    <w:rsid w:val="002A0777"/>
    <w:rsid w:val="003D1B41"/>
    <w:rsid w:val="003D70FB"/>
    <w:rsid w:val="00445FE3"/>
    <w:rsid w:val="006E4040"/>
    <w:rsid w:val="0080453D"/>
    <w:rsid w:val="00AF1898"/>
    <w:rsid w:val="00B47BE2"/>
    <w:rsid w:val="00C2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1E23E-C768-4751-80EF-004AAF9C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3D1B4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AF189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7</cp:revision>
  <cp:lastPrinted>2024-12-19T13:21:00Z</cp:lastPrinted>
  <dcterms:created xsi:type="dcterms:W3CDTF">2024-12-19T12:19:00Z</dcterms:created>
  <dcterms:modified xsi:type="dcterms:W3CDTF">2024-12-19T13:55:00Z</dcterms:modified>
</cp:coreProperties>
</file>