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05CA3" w14:textId="77777777" w:rsidR="002959BE" w:rsidRDefault="00B005B7">
      <w:r>
        <w:rPr>
          <w:noProof/>
          <w:lang w:eastAsia="es-AR"/>
        </w:rPr>
        <w:drawing>
          <wp:inline distT="0" distB="0" distL="0" distR="0" wp14:anchorId="66FEAF15" wp14:editId="538F989C">
            <wp:extent cx="6120130" cy="8921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64E7C5BF" w14:textId="77777777" w:rsidR="000E0865" w:rsidRPr="000E0865" w:rsidRDefault="000E0865" w:rsidP="000E0865">
      <w:pPr>
        <w:spacing w:before="100" w:beforeAutospacing="1" w:after="100" w:afterAutospacing="1" w:line="240" w:lineRule="auto"/>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FUNDAMENTOS:</w:t>
      </w:r>
    </w:p>
    <w:p w14:paraId="2A9A2786"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La promulgación de esta ley es fundamental, considerando que, conforme a los considerandos de las normas que más adelante se enumeran, se observa un importante número de hechos delictivos en todo el país vinculados a la venta y comercialización de metales no ferrosos, tales como aluminio y bronce, entre otros. Esta situación afecta negativamente tanto a los propietarios particulares como a entidades públicas.</w:t>
      </w:r>
    </w:p>
    <w:p w14:paraId="76EB122C"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 xml:space="preserve">A comienzos de junio de 2024, el Concejo Deliberante de </w:t>
      </w:r>
      <w:proofErr w:type="spellStart"/>
      <w:r w:rsidRPr="000E0865">
        <w:rPr>
          <w:rFonts w:ascii="Times New Roman" w:eastAsia="Times New Roman" w:hAnsi="Times New Roman" w:cs="Times New Roman"/>
          <w:sz w:val="24"/>
          <w:szCs w:val="24"/>
          <w:lang w:eastAsia="es-AR"/>
        </w:rPr>
        <w:t>Gualeguaychú</w:t>
      </w:r>
      <w:proofErr w:type="spellEnd"/>
      <w:r w:rsidRPr="000E0865">
        <w:rPr>
          <w:rFonts w:ascii="Times New Roman" w:eastAsia="Times New Roman" w:hAnsi="Times New Roman" w:cs="Times New Roman"/>
          <w:sz w:val="24"/>
          <w:szCs w:val="24"/>
          <w:lang w:eastAsia="es-AR"/>
        </w:rPr>
        <w:t xml:space="preserve"> modificó por unanimidad la Ordenanza N° 11.871/2014, a la cual se le agregó el Capítulo II sobre “Metales No Ferrosos y Desechos Potencialmente Sensibles a la Seguridad”. El objetivo de esta modificación es la regulación de dichas actividades para disminuir los actos delictivos relacionados con ellas, como el robo de cables para la obtención de cobre, el hurto de placas de cementerio por el valor del bronce, y otros delitos que incluyen el robo de medidores de agua, los cuales son desarmados y vendidos como materias primas.</w:t>
      </w:r>
    </w:p>
    <w:p w14:paraId="332521AA"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 xml:space="preserve">Como legislador, participé en una reunión en el recinto del Honorable Concejo Deliberante de </w:t>
      </w:r>
      <w:proofErr w:type="spellStart"/>
      <w:r w:rsidRPr="000E0865">
        <w:rPr>
          <w:rFonts w:ascii="Times New Roman" w:eastAsia="Times New Roman" w:hAnsi="Times New Roman" w:cs="Times New Roman"/>
          <w:sz w:val="24"/>
          <w:szCs w:val="24"/>
          <w:lang w:eastAsia="es-AR"/>
        </w:rPr>
        <w:t>Gualeguaychú</w:t>
      </w:r>
      <w:proofErr w:type="spellEnd"/>
      <w:r w:rsidRPr="000E0865">
        <w:rPr>
          <w:rFonts w:ascii="Times New Roman" w:eastAsia="Times New Roman" w:hAnsi="Times New Roman" w:cs="Times New Roman"/>
          <w:sz w:val="24"/>
          <w:szCs w:val="24"/>
          <w:lang w:eastAsia="es-AR"/>
        </w:rPr>
        <w:t>, en la cual también confluyeron concejales de otras localidades y autoridades de la Policía Departamental, quienes fueron consultados para la redacción de la ordenanza.</w:t>
      </w:r>
    </w:p>
    <w:p w14:paraId="32893E04"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 xml:space="preserve">En dicha reunión se planteó el objetivo de replicar esta medida en el resto de las localidades departamentales para desmantelar el circuito de tráfico y comercialización de materiales no ferrosos ilegales. Esto se considera necesario no solo para la ciudad, sino también para el resto del departamento, ya que controlar estas actividades en </w:t>
      </w:r>
      <w:proofErr w:type="spellStart"/>
      <w:r w:rsidRPr="000E0865">
        <w:rPr>
          <w:rFonts w:ascii="Times New Roman" w:eastAsia="Times New Roman" w:hAnsi="Times New Roman" w:cs="Times New Roman"/>
          <w:sz w:val="24"/>
          <w:szCs w:val="24"/>
          <w:lang w:eastAsia="es-AR"/>
        </w:rPr>
        <w:t>Gualeguaychú</w:t>
      </w:r>
      <w:proofErr w:type="spellEnd"/>
      <w:r w:rsidRPr="000E0865">
        <w:rPr>
          <w:rFonts w:ascii="Times New Roman" w:eastAsia="Times New Roman" w:hAnsi="Times New Roman" w:cs="Times New Roman"/>
          <w:sz w:val="24"/>
          <w:szCs w:val="24"/>
          <w:lang w:eastAsia="es-AR"/>
        </w:rPr>
        <w:t xml:space="preserve"> requiere también la </w:t>
      </w:r>
      <w:proofErr w:type="gramStart"/>
      <w:r w:rsidRPr="000E0865">
        <w:rPr>
          <w:rFonts w:ascii="Times New Roman" w:eastAsia="Times New Roman" w:hAnsi="Times New Roman" w:cs="Times New Roman"/>
          <w:sz w:val="24"/>
          <w:szCs w:val="24"/>
          <w:lang w:eastAsia="es-AR"/>
        </w:rPr>
        <w:t>implementación</w:t>
      </w:r>
      <w:proofErr w:type="gramEnd"/>
      <w:r w:rsidRPr="000E0865">
        <w:rPr>
          <w:rFonts w:ascii="Times New Roman" w:eastAsia="Times New Roman" w:hAnsi="Times New Roman" w:cs="Times New Roman"/>
          <w:sz w:val="24"/>
          <w:szCs w:val="24"/>
          <w:lang w:eastAsia="es-AR"/>
        </w:rPr>
        <w:t xml:space="preserve"> de controles en las áreas circundantes.</w:t>
      </w:r>
    </w:p>
    <w:p w14:paraId="561CEF53"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Sin embargo, el objetivo de este proyecto es que los controles se extiendan a todo el territorio provincial, incluidas las actuales juntas de gobierno, comunas y municipios. Esto permitirá que todos cuenten con una legislación al menos similar, de modo que se pueda trabajar de manera coordinada. No sirve de nada cortar el canal de venta o comercialización de estos materiales ilegales en una ciudad si luego pueden ser vendidos en otras.</w:t>
      </w:r>
    </w:p>
    <w:p w14:paraId="2F16351F"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Con el propósito de considerar otras experiencias dentro del país, se consultaron proyectos y legislaciones nacionales, provinciales y municipales. A continuación, se enumeran algunos ejemplos significativos:</w:t>
      </w:r>
    </w:p>
    <w:p w14:paraId="0200A44E" w14:textId="77777777" w:rsidR="000E0865" w:rsidRPr="000E0865" w:rsidRDefault="000E0865" w:rsidP="000E086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Cámara de Senadores de la Nación</w:t>
      </w:r>
      <w:r w:rsidRPr="000E0865">
        <w:rPr>
          <w:rFonts w:ascii="Times New Roman" w:eastAsia="Times New Roman" w:hAnsi="Times New Roman" w:cs="Times New Roman"/>
          <w:sz w:val="24"/>
          <w:szCs w:val="24"/>
          <w:lang w:eastAsia="es-AR"/>
        </w:rPr>
        <w:t>: Senado de la Nación, Secretaría Parlamentaria, Dirección General de Publicaciones (S-1403/15). Proyecto de Ley. El Senado y la Cámara de Diputados presentan un régimen legal de registro para actividades comerciales o industriales con metales no ferrosos.</w:t>
      </w:r>
    </w:p>
    <w:p w14:paraId="2CC40386" w14:textId="77777777" w:rsidR="00656423" w:rsidRDefault="000E0865" w:rsidP="000E086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Municipalidad de Rosario</w:t>
      </w:r>
      <w:r w:rsidRPr="000E0865">
        <w:rPr>
          <w:rFonts w:ascii="Times New Roman" w:eastAsia="Times New Roman" w:hAnsi="Times New Roman" w:cs="Times New Roman"/>
          <w:sz w:val="24"/>
          <w:szCs w:val="24"/>
          <w:lang w:eastAsia="es-AR"/>
        </w:rPr>
        <w:t xml:space="preserve">: Ordenanza que adhiere a la Ley Provincial Nº 14191, sobre el Registro de acopiadores y comercializadores de metales no ferrosos. La legislatura de la </w:t>
      </w:r>
    </w:p>
    <w:p w14:paraId="6DAC0718" w14:textId="5CC75072" w:rsidR="000E0865" w:rsidRPr="000E0865" w:rsidRDefault="00656423" w:rsidP="00656423">
      <w:pPr>
        <w:spacing w:before="100" w:beforeAutospacing="1" w:after="100" w:afterAutospacing="1" w:line="240" w:lineRule="auto"/>
        <w:ind w:left="720"/>
        <w:jc w:val="both"/>
        <w:rPr>
          <w:rFonts w:ascii="Times New Roman" w:eastAsia="Times New Roman" w:hAnsi="Times New Roman" w:cs="Times New Roman"/>
          <w:sz w:val="24"/>
          <w:szCs w:val="24"/>
          <w:lang w:eastAsia="es-AR"/>
        </w:rPr>
      </w:pPr>
      <w:r>
        <w:rPr>
          <w:noProof/>
          <w:lang w:eastAsia="es-AR"/>
        </w:rPr>
        <w:lastRenderedPageBreak/>
        <w:drawing>
          <wp:inline distT="0" distB="0" distL="0" distR="0" wp14:anchorId="65660578" wp14:editId="452F13AE">
            <wp:extent cx="6120130" cy="892175"/>
            <wp:effectExtent l="0" t="0" r="0" b="3175"/>
            <wp:docPr id="1167866642" name="Imagen 1167866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cabezado página2.png"/>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roofErr w:type="gramStart"/>
      <w:r w:rsidR="000E0865" w:rsidRPr="000E0865">
        <w:rPr>
          <w:rFonts w:ascii="Times New Roman" w:eastAsia="Times New Roman" w:hAnsi="Times New Roman" w:cs="Times New Roman"/>
          <w:sz w:val="24"/>
          <w:szCs w:val="24"/>
          <w:lang w:eastAsia="es-AR"/>
        </w:rPr>
        <w:t>provincia</w:t>
      </w:r>
      <w:proofErr w:type="gramEnd"/>
      <w:r w:rsidR="000E0865" w:rsidRPr="000E0865">
        <w:rPr>
          <w:rFonts w:ascii="Times New Roman" w:eastAsia="Times New Roman" w:hAnsi="Times New Roman" w:cs="Times New Roman"/>
          <w:sz w:val="24"/>
          <w:szCs w:val="24"/>
          <w:lang w:eastAsia="es-AR"/>
        </w:rPr>
        <w:t xml:space="preserve"> de Santa Fe sanciona con fuerza de ley: registro provincial de acopiadores y comercializadores de metales no ferrosos.</w:t>
      </w:r>
    </w:p>
    <w:p w14:paraId="7B991DDA" w14:textId="77777777" w:rsidR="000E0865" w:rsidRPr="000E0865" w:rsidRDefault="000E0865" w:rsidP="000E086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 xml:space="preserve">Municipalidad de </w:t>
      </w:r>
      <w:proofErr w:type="spellStart"/>
      <w:r w:rsidRPr="000E0865">
        <w:rPr>
          <w:rFonts w:ascii="Times New Roman" w:eastAsia="Times New Roman" w:hAnsi="Times New Roman" w:cs="Times New Roman"/>
          <w:b/>
          <w:bCs/>
          <w:sz w:val="24"/>
          <w:szCs w:val="24"/>
          <w:lang w:eastAsia="es-AR"/>
        </w:rPr>
        <w:t>Oberá</w:t>
      </w:r>
      <w:proofErr w:type="spellEnd"/>
      <w:r w:rsidRPr="000E0865">
        <w:rPr>
          <w:rFonts w:ascii="Times New Roman" w:eastAsia="Times New Roman" w:hAnsi="Times New Roman" w:cs="Times New Roman"/>
          <w:b/>
          <w:bCs/>
          <w:sz w:val="24"/>
          <w:szCs w:val="24"/>
          <w:lang w:eastAsia="es-AR"/>
        </w:rPr>
        <w:t xml:space="preserve"> - Misiones</w:t>
      </w:r>
      <w:r w:rsidRPr="000E0865">
        <w:rPr>
          <w:rFonts w:ascii="Times New Roman" w:eastAsia="Times New Roman" w:hAnsi="Times New Roman" w:cs="Times New Roman"/>
          <w:sz w:val="24"/>
          <w:szCs w:val="24"/>
          <w:lang w:eastAsia="es-AR"/>
        </w:rPr>
        <w:t xml:space="preserve">: Ordenanza Nº 3324, </w:t>
      </w:r>
      <w:proofErr w:type="spellStart"/>
      <w:r w:rsidRPr="000E0865">
        <w:rPr>
          <w:rFonts w:ascii="Times New Roman" w:eastAsia="Times New Roman" w:hAnsi="Times New Roman" w:cs="Times New Roman"/>
          <w:sz w:val="24"/>
          <w:szCs w:val="24"/>
          <w:lang w:eastAsia="es-AR"/>
        </w:rPr>
        <w:t>Expte</w:t>
      </w:r>
      <w:proofErr w:type="spellEnd"/>
      <w:r w:rsidRPr="000E0865">
        <w:rPr>
          <w:rFonts w:ascii="Times New Roman" w:eastAsia="Times New Roman" w:hAnsi="Times New Roman" w:cs="Times New Roman"/>
          <w:sz w:val="24"/>
          <w:szCs w:val="24"/>
          <w:lang w:eastAsia="es-AR"/>
        </w:rPr>
        <w:t xml:space="preserve"> N° 085/2024 - Ref.: "Disposiciones para la prevención y control de actividades con metales no ferrosos", emitida el 23 de abril de 2024.</w:t>
      </w:r>
    </w:p>
    <w:p w14:paraId="3C1B27F6" w14:textId="77777777" w:rsidR="000E0865" w:rsidRPr="000E0865" w:rsidRDefault="000E0865" w:rsidP="000E086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Provincia de Mendoza</w:t>
      </w:r>
      <w:r w:rsidRPr="000E0865">
        <w:rPr>
          <w:rFonts w:ascii="Times New Roman" w:eastAsia="Times New Roman" w:hAnsi="Times New Roman" w:cs="Times New Roman"/>
          <w:sz w:val="24"/>
          <w:szCs w:val="24"/>
          <w:lang w:eastAsia="es-AR"/>
        </w:rPr>
        <w:t>: Régimen Preventivo y de Control de Actividades con Metales No Ferrosos, LEY 9.447, sancionada el 27 de diciembre de 2022. La Municipalidad de Rosario busca adherirse a esta ley provincial.</w:t>
      </w:r>
    </w:p>
    <w:p w14:paraId="78D8D444" w14:textId="77777777" w:rsidR="000E0865" w:rsidRPr="000E0865" w:rsidRDefault="000E0865" w:rsidP="000E0865">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Provincia de Buenos Aires</w:t>
      </w:r>
      <w:r w:rsidRPr="000E0865">
        <w:rPr>
          <w:rFonts w:ascii="Times New Roman" w:eastAsia="Times New Roman" w:hAnsi="Times New Roman" w:cs="Times New Roman"/>
          <w:sz w:val="24"/>
          <w:szCs w:val="24"/>
          <w:lang w:eastAsia="es-AR"/>
        </w:rPr>
        <w:t xml:space="preserve">: Ley 13564, promulgada el 19/10/2006, publicada el 26/10/2006 en el Boletín Oficial Nº 25523. La ley regula la comercialización e industrias de metales no ferrosos en </w:t>
      </w:r>
      <w:proofErr w:type="spellStart"/>
      <w:r w:rsidRPr="000E0865">
        <w:rPr>
          <w:rFonts w:ascii="Times New Roman" w:eastAsia="Times New Roman" w:hAnsi="Times New Roman" w:cs="Times New Roman"/>
          <w:sz w:val="24"/>
          <w:szCs w:val="24"/>
          <w:lang w:eastAsia="es-AR"/>
        </w:rPr>
        <w:t>desarmaderos</w:t>
      </w:r>
      <w:proofErr w:type="spellEnd"/>
      <w:r w:rsidRPr="000E0865">
        <w:rPr>
          <w:rFonts w:ascii="Times New Roman" w:eastAsia="Times New Roman" w:hAnsi="Times New Roman" w:cs="Times New Roman"/>
          <w:sz w:val="24"/>
          <w:szCs w:val="24"/>
          <w:lang w:eastAsia="es-AR"/>
        </w:rPr>
        <w:t>, chatarrerías y depósitos, y establece que deben llevar un libro foliado y rubricado por el titular de la comisaría de la jurisdicción. Se crea un registro de control de comercios de cobre y aluminio.</w:t>
      </w:r>
    </w:p>
    <w:p w14:paraId="315434FB"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 xml:space="preserve">También se consultaron antecedentes de proyectos y legislaciones de nuestra provincia en materias afines que persiguen el mismo objetivo, tales como la regulación de </w:t>
      </w:r>
      <w:proofErr w:type="spellStart"/>
      <w:r w:rsidRPr="000E0865">
        <w:rPr>
          <w:rFonts w:ascii="Times New Roman" w:eastAsia="Times New Roman" w:hAnsi="Times New Roman" w:cs="Times New Roman"/>
          <w:sz w:val="24"/>
          <w:szCs w:val="24"/>
          <w:lang w:eastAsia="es-AR"/>
        </w:rPr>
        <w:t>desarmaderos</w:t>
      </w:r>
      <w:proofErr w:type="spellEnd"/>
      <w:r w:rsidRPr="000E0865">
        <w:rPr>
          <w:rFonts w:ascii="Times New Roman" w:eastAsia="Times New Roman" w:hAnsi="Times New Roman" w:cs="Times New Roman"/>
          <w:sz w:val="24"/>
          <w:szCs w:val="24"/>
          <w:lang w:eastAsia="es-AR"/>
        </w:rPr>
        <w:t xml:space="preserve"> y la comercialización de equipos usados de telefonía móvil y sus partes.</w:t>
      </w:r>
    </w:p>
    <w:p w14:paraId="068159D4" w14:textId="77777777" w:rsidR="000E0865" w:rsidRPr="000E0865" w:rsidRDefault="000E0865" w:rsidP="000E086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HCDER, Expediente 22021</w:t>
      </w:r>
      <w:r w:rsidRPr="000E0865">
        <w:rPr>
          <w:rFonts w:ascii="Times New Roman" w:eastAsia="Times New Roman" w:hAnsi="Times New Roman" w:cs="Times New Roman"/>
          <w:sz w:val="24"/>
          <w:szCs w:val="24"/>
          <w:lang w:eastAsia="es-AR"/>
        </w:rPr>
        <w:t>: Fecha de Entrada 28/04/2017, Cámara de Origen: Diputados. Tipo de Proyecto: Proyecto de Ley. Síntesis: adhiérase la provincia de Entre Ríos a la Ley Nacional Nº 25.761, que establece un régimen legal para el desarmado de automotores y venta de sus autopartes. Estado: Archivado.</w:t>
      </w:r>
    </w:p>
    <w:p w14:paraId="2B5FC8EC" w14:textId="77777777" w:rsidR="000E0865" w:rsidRPr="000E0865" w:rsidRDefault="000E0865" w:rsidP="000E086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HCDER, Expediente Nº 13839</w:t>
      </w:r>
      <w:r w:rsidRPr="000E0865">
        <w:rPr>
          <w:rFonts w:ascii="Times New Roman" w:eastAsia="Times New Roman" w:hAnsi="Times New Roman" w:cs="Times New Roman"/>
          <w:sz w:val="24"/>
          <w:szCs w:val="24"/>
          <w:lang w:eastAsia="es-AR"/>
        </w:rPr>
        <w:t xml:space="preserve">: Fecha de Entrada 30/04/2004, Cámara de Origen: Diputados. Tipo de Proyecto de Ley. Síntesis: créase el Registro Provincial Único de </w:t>
      </w:r>
      <w:proofErr w:type="spellStart"/>
      <w:r w:rsidRPr="000E0865">
        <w:rPr>
          <w:rFonts w:ascii="Times New Roman" w:eastAsia="Times New Roman" w:hAnsi="Times New Roman" w:cs="Times New Roman"/>
          <w:sz w:val="24"/>
          <w:szCs w:val="24"/>
          <w:lang w:eastAsia="es-AR"/>
        </w:rPr>
        <w:t>Desarmaderos</w:t>
      </w:r>
      <w:proofErr w:type="spellEnd"/>
      <w:r w:rsidRPr="000E0865">
        <w:rPr>
          <w:rFonts w:ascii="Times New Roman" w:eastAsia="Times New Roman" w:hAnsi="Times New Roman" w:cs="Times New Roman"/>
          <w:sz w:val="24"/>
          <w:szCs w:val="24"/>
          <w:lang w:eastAsia="es-AR"/>
        </w:rPr>
        <w:t xml:space="preserve"> de Automotores. Estado: Expurgado en Cámara de Senadores.</w:t>
      </w:r>
    </w:p>
    <w:p w14:paraId="14ABD456" w14:textId="77777777" w:rsidR="000E0865" w:rsidRPr="000E0865" w:rsidRDefault="000E0865" w:rsidP="000E0865">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t>HCDER, Expediente 23147</w:t>
      </w:r>
      <w:r w:rsidRPr="000E0865">
        <w:rPr>
          <w:rFonts w:ascii="Times New Roman" w:eastAsia="Times New Roman" w:hAnsi="Times New Roman" w:cs="Times New Roman"/>
          <w:sz w:val="24"/>
          <w:szCs w:val="24"/>
          <w:lang w:eastAsia="es-AR"/>
        </w:rPr>
        <w:t>: Fecha de Entrada 08/10/2018, Cámara de Origen: Diputados. Tipo de Proyecto: Proyecto de Ley. Síntesis: créase en el ámbito de la provincia de Entre Ríos un sistema público, online y gratuito de seguimiento de actividades relativas a la compraventa y reparación de equipos usados de telefonía móvil, sus repuestos y partes, en el ámbito del Ministerio de Gobierno y Justicia a través de la Policía de la Provincia, o el organismo que en un futuro lo reemplace. Estado: 30/03/2022, salida de la Comisión de Comunicaciones y Transporte.</w:t>
      </w:r>
    </w:p>
    <w:p w14:paraId="1EFDAF7A" w14:textId="77777777" w:rsidR="000E0865" w:rsidRPr="000E0865" w:rsidRDefault="000E0865" w:rsidP="00190C9B">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Cabe señalar que, entre todos los antecedentes consultados, se ha adoptado como referencia el proveniente de la provincia de Río Negro, Ley Nº 5669, sancionada el 12/10/2023, por cuanto resulta compatible con nuestra Constitución Provincial y la legislación vigente en nuestra provincia. Además, desde el punto de vista de la técnica legislativa, es apropiado para recoger, vía reglamentaria, las particularidades de nuestra provincia y los cambios que se suceden impredeciblemente en esta materia con el transcurso del tiempo.</w:t>
      </w:r>
    </w:p>
    <w:p w14:paraId="4FCF6BC7" w14:textId="77777777" w:rsidR="00656423" w:rsidRDefault="00656423" w:rsidP="000E0865">
      <w:pPr>
        <w:spacing w:before="100" w:beforeAutospacing="1" w:after="100" w:afterAutospacing="1" w:line="240" w:lineRule="auto"/>
        <w:rPr>
          <w:rFonts w:ascii="Times New Roman" w:eastAsia="Times New Roman" w:hAnsi="Times New Roman" w:cs="Times New Roman"/>
          <w:b/>
          <w:bCs/>
          <w:sz w:val="24"/>
          <w:szCs w:val="24"/>
          <w:lang w:eastAsia="es-AR"/>
        </w:rPr>
      </w:pPr>
    </w:p>
    <w:p w14:paraId="6E0E9EE1" w14:textId="77777777" w:rsidR="00656423" w:rsidRDefault="00656423" w:rsidP="000E0865">
      <w:pPr>
        <w:spacing w:before="100" w:beforeAutospacing="1" w:after="100" w:afterAutospacing="1" w:line="240" w:lineRule="auto"/>
        <w:rPr>
          <w:rFonts w:ascii="Times New Roman" w:eastAsia="Times New Roman" w:hAnsi="Times New Roman" w:cs="Times New Roman"/>
          <w:b/>
          <w:bCs/>
          <w:sz w:val="24"/>
          <w:szCs w:val="24"/>
          <w:lang w:eastAsia="es-AR"/>
        </w:rPr>
      </w:pPr>
    </w:p>
    <w:p w14:paraId="054192B2" w14:textId="63667E78" w:rsidR="000E0865" w:rsidRPr="000E0865" w:rsidRDefault="000E0865" w:rsidP="00656423">
      <w:pPr>
        <w:spacing w:before="100" w:beforeAutospacing="1" w:after="100" w:afterAutospacing="1" w:line="240" w:lineRule="auto"/>
        <w:rPr>
          <w:rFonts w:ascii="Times New Roman" w:eastAsia="Times New Roman" w:hAnsi="Times New Roman" w:cs="Times New Roman"/>
          <w:sz w:val="24"/>
          <w:szCs w:val="24"/>
          <w:lang w:eastAsia="es-AR"/>
        </w:rPr>
      </w:pPr>
      <w:r w:rsidRPr="000E0865">
        <w:rPr>
          <w:rFonts w:ascii="Times New Roman" w:eastAsia="Times New Roman" w:hAnsi="Times New Roman" w:cs="Times New Roman"/>
          <w:b/>
          <w:bCs/>
          <w:sz w:val="24"/>
          <w:szCs w:val="24"/>
          <w:lang w:eastAsia="es-AR"/>
        </w:rPr>
        <w:lastRenderedPageBreak/>
        <w:t>Contenido del Proyecto:</w:t>
      </w:r>
    </w:p>
    <w:p w14:paraId="3FA5730E" w14:textId="0DA7D628" w:rsidR="000E0865" w:rsidRPr="000E0865" w:rsidRDefault="00656423"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Pr>
          <w:noProof/>
          <w:lang w:eastAsia="es-AR"/>
        </w:rPr>
        <w:drawing>
          <wp:inline distT="0" distB="0" distL="0" distR="0" wp14:anchorId="7ACF8090" wp14:editId="4C1492B7">
            <wp:extent cx="6120130" cy="892175"/>
            <wp:effectExtent l="0" t="0" r="0" b="3175"/>
            <wp:docPr id="60120879" name="Imagen 6012087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20879" name="Imagen 60120879" descr="Imagen que contiene Rectángul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000E0865" w:rsidRPr="000E0865">
        <w:rPr>
          <w:rFonts w:ascii="Times New Roman" w:eastAsia="Times New Roman" w:hAnsi="Times New Roman" w:cs="Times New Roman"/>
          <w:sz w:val="24"/>
          <w:szCs w:val="24"/>
          <w:lang w:eastAsia="es-AR"/>
        </w:rPr>
        <w:t xml:space="preserve">La ley regula actividades relacionadas con metales no ferrosos, incluyendo acopio, fundición, fabricación, compraventa, </w:t>
      </w:r>
      <w:proofErr w:type="spellStart"/>
      <w:r w:rsidR="000E0865" w:rsidRPr="000E0865">
        <w:rPr>
          <w:rFonts w:ascii="Times New Roman" w:eastAsia="Times New Roman" w:hAnsi="Times New Roman" w:cs="Times New Roman"/>
          <w:sz w:val="24"/>
          <w:szCs w:val="24"/>
          <w:lang w:eastAsia="es-AR"/>
        </w:rPr>
        <w:t>desar</w:t>
      </w:r>
      <w:bookmarkStart w:id="0" w:name="_GoBack"/>
      <w:bookmarkEnd w:id="0"/>
      <w:r w:rsidR="000E0865" w:rsidRPr="000E0865">
        <w:rPr>
          <w:rFonts w:ascii="Times New Roman" w:eastAsia="Times New Roman" w:hAnsi="Times New Roman" w:cs="Times New Roman"/>
          <w:sz w:val="24"/>
          <w:szCs w:val="24"/>
          <w:lang w:eastAsia="es-AR"/>
        </w:rPr>
        <w:t>maderos</w:t>
      </w:r>
      <w:proofErr w:type="spellEnd"/>
      <w:r w:rsidR="000E0865" w:rsidRPr="000E0865">
        <w:rPr>
          <w:rFonts w:ascii="Times New Roman" w:eastAsia="Times New Roman" w:hAnsi="Times New Roman" w:cs="Times New Roman"/>
          <w:sz w:val="24"/>
          <w:szCs w:val="24"/>
          <w:lang w:eastAsia="es-AR"/>
        </w:rPr>
        <w:t>, chatarrerías, depósitos y transporte, tanto de manera principal como accesoria, permanente o eventual.</w:t>
      </w:r>
    </w:p>
    <w:p w14:paraId="493BC95C"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Define cuáles son los metales no ferrosos y establece como Autoridad de Aplicación al Ministerio de Seguridad y Justicia de la Provincia de Entre Ríos, quien será responsable de implementar la ley.</w:t>
      </w:r>
    </w:p>
    <w:p w14:paraId="15A8B022"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Determina exclusiones: los yacimientos de minerales no ferrosos y los productores primarios están exentos de esta regulación.</w:t>
      </w:r>
    </w:p>
    <w:p w14:paraId="0379B670"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Crea el Registro Provincial de Acopiadores y Comercializadores de Metales No Ferrosos, donde deben inscribirse las personas y empresas que realicen las actividades mencionadas en el artículo 1º.</w:t>
      </w:r>
    </w:p>
    <w:p w14:paraId="6F588EFF"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Establece que las transacciones de adquisición, enajenación y transporte de metales no ferrosos deben registrarse detalladamente, según lo exija la autoridad de aplicación.</w:t>
      </w:r>
    </w:p>
    <w:p w14:paraId="3372C233"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Indica que las entidades que prestan servicios públicos deben registrar y describir sus metales no ferrosos usados, incluyendo fotos o ilustraciones técnicas, para dar a conocer su propiedad y uso exclusivo.</w:t>
      </w:r>
    </w:p>
    <w:p w14:paraId="5490F837"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Establece las siguientes obligaciones principales:</w:t>
      </w:r>
    </w:p>
    <w:p w14:paraId="588F4014" w14:textId="77777777" w:rsidR="000E0865" w:rsidRPr="000E0865" w:rsidRDefault="000E0865" w:rsidP="000E086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Exhibir registros de operaciones y documentación pertinente durante inspecciones.</w:t>
      </w:r>
    </w:p>
    <w:p w14:paraId="0A9A20E7" w14:textId="77777777" w:rsidR="000E0865" w:rsidRPr="000E0865" w:rsidRDefault="000E0865" w:rsidP="000E086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Presentar habilitaciones comerciales y registros tributarios.</w:t>
      </w:r>
    </w:p>
    <w:p w14:paraId="55ECE508" w14:textId="77777777" w:rsidR="000E0865" w:rsidRPr="000E0865" w:rsidRDefault="000E0865" w:rsidP="000E0865">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Conservar libros y registros durante cinco años y presentarlos cuando sea requerido.</w:t>
      </w:r>
    </w:p>
    <w:p w14:paraId="7C1B36B3"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Enumera las facultades de la autoridad, la cual podrá fiscalizar y exigir el cumplimiento de la ley, solicitar la exhibición de metales y documentos, y secuestrar preventivamente mercancías en infracción, notificando a las autoridades pertinentes.</w:t>
      </w:r>
    </w:p>
    <w:p w14:paraId="3B0E6637"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Determina cuáles son las infracciones frente al incumplimiento de la ley y el procedimiento para llevar a cabo el sumario administrativo y aplicar las sanciones correspondientes.</w:t>
      </w:r>
    </w:p>
    <w:p w14:paraId="3274291E"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Establece que la autoridad de aplicación puede dictar normas complementarias y operativas para implementar la ley.</w:t>
      </w:r>
    </w:p>
    <w:p w14:paraId="2D5A3546" w14:textId="77777777" w:rsidR="000E0865" w:rsidRPr="000E0865" w:rsidRDefault="000E0865" w:rsidP="000E0865">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Autoriza al Poder Ejecutivo a realizar ajustes presupuestarios para la implementación de la ley e invita a las comunas y municipios a adherirse a la ley dentro de sus competencias.</w:t>
      </w:r>
    </w:p>
    <w:p w14:paraId="78BA7BF1" w14:textId="77777777" w:rsidR="000E0865" w:rsidRPr="000E0865" w:rsidRDefault="000E0865" w:rsidP="000E0865">
      <w:pPr>
        <w:spacing w:before="100" w:beforeAutospacing="1" w:after="100" w:afterAutospacing="1" w:line="240" w:lineRule="auto"/>
        <w:jc w:val="both"/>
        <w:rPr>
          <w:rFonts w:ascii="Times New Roman" w:eastAsia="Times New Roman" w:hAnsi="Times New Roman" w:cs="Times New Roman"/>
          <w:sz w:val="24"/>
          <w:szCs w:val="24"/>
          <w:lang w:eastAsia="es-AR"/>
        </w:rPr>
      </w:pPr>
      <w:r w:rsidRPr="000E0865">
        <w:rPr>
          <w:rFonts w:ascii="Times New Roman" w:eastAsia="Times New Roman" w:hAnsi="Times New Roman" w:cs="Times New Roman"/>
          <w:sz w:val="24"/>
          <w:szCs w:val="24"/>
          <w:lang w:eastAsia="es-AR"/>
        </w:rPr>
        <w:t>Por lo expuesto, remito a esa Honorable Cámara el presente proyecto, esperando contar con el acompañamiento de los Sres. Senadores.</w:t>
      </w:r>
    </w:p>
    <w:p w14:paraId="2531D1A0" w14:textId="29C8CCCA" w:rsidR="000E0865" w:rsidRDefault="000E0865">
      <w:pPr>
        <w:rPr>
          <w:rFonts w:ascii="Aptos" w:eastAsia="Aptos" w:hAnsi="Aptos" w:cs="Times New Roman"/>
          <w:kern w:val="2"/>
          <w:sz w:val="24"/>
          <w:szCs w:val="24"/>
          <w14:ligatures w14:val="standardContextual"/>
        </w:rPr>
      </w:pPr>
      <w:r>
        <w:rPr>
          <w:rFonts w:ascii="Aptos" w:eastAsia="Aptos" w:hAnsi="Aptos" w:cs="Times New Roman"/>
          <w:kern w:val="2"/>
          <w:sz w:val="24"/>
          <w:szCs w:val="24"/>
          <w14:ligatures w14:val="standardContextual"/>
        </w:rPr>
        <w:br w:type="page"/>
      </w:r>
    </w:p>
    <w:p w14:paraId="17652798" w14:textId="77777777" w:rsidR="000E0865" w:rsidRPr="000E0865" w:rsidRDefault="000E0865" w:rsidP="000E0865">
      <w:pPr>
        <w:spacing w:line="278" w:lineRule="auto"/>
        <w:jc w:val="both"/>
        <w:rPr>
          <w:rFonts w:ascii="Aptos" w:eastAsia="Aptos" w:hAnsi="Aptos" w:cs="Times New Roman"/>
          <w:kern w:val="2"/>
          <w:sz w:val="24"/>
          <w:szCs w:val="24"/>
          <w14:ligatures w14:val="standardContextual"/>
        </w:rPr>
      </w:pPr>
    </w:p>
    <w:p w14:paraId="5EC1139E" w14:textId="252AFC4C" w:rsidR="00AB6CD8" w:rsidRDefault="00145F96">
      <w:r>
        <w:rPr>
          <w:noProof/>
          <w:lang w:eastAsia="es-AR"/>
        </w:rPr>
        <w:drawing>
          <wp:inline distT="0" distB="0" distL="0" distR="0" wp14:anchorId="7D1DA6C1" wp14:editId="538DC489">
            <wp:extent cx="6120130" cy="892175"/>
            <wp:effectExtent l="0" t="0" r="0" b="3175"/>
            <wp:docPr id="572936068" name="Imagen 572936068"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p>
    <w:p w14:paraId="379CC6A5" w14:textId="45E27863" w:rsidR="003C2BF5" w:rsidRPr="003C2BF5" w:rsidRDefault="003C2BF5" w:rsidP="00190C9B">
      <w:pPr>
        <w:spacing w:before="100" w:beforeAutospacing="1" w:after="100" w:afterAutospacing="1" w:line="240" w:lineRule="auto"/>
        <w:ind w:left="360"/>
        <w:jc w:val="center"/>
        <w:rPr>
          <w:rFonts w:ascii="Times New Roman" w:eastAsia="Times New Roman" w:hAnsi="Times New Roman" w:cs="Times New Roman"/>
          <w:sz w:val="24"/>
          <w:szCs w:val="24"/>
          <w:lang w:eastAsia="es-AR"/>
        </w:rPr>
      </w:pPr>
      <w:r w:rsidRPr="003C2BF5">
        <w:rPr>
          <w:rFonts w:ascii="Times New Roman" w:eastAsia="Times New Roman" w:hAnsi="Times New Roman" w:cs="Times New Roman"/>
          <w:sz w:val="24"/>
          <w:szCs w:val="24"/>
          <w:lang w:eastAsia="es-AR"/>
        </w:rPr>
        <w:t>LA LEGISLATURA DE LA PROVINCIA DE ENTRE RIOS</w:t>
      </w:r>
    </w:p>
    <w:p w14:paraId="147D6E4D" w14:textId="77777777" w:rsidR="003C2BF5" w:rsidRPr="003C2BF5" w:rsidRDefault="003C2BF5" w:rsidP="00190C9B">
      <w:pPr>
        <w:spacing w:before="100" w:beforeAutospacing="1" w:after="100" w:afterAutospacing="1" w:line="240" w:lineRule="auto"/>
        <w:ind w:left="360"/>
        <w:jc w:val="center"/>
        <w:rPr>
          <w:rFonts w:ascii="Times New Roman" w:eastAsia="Times New Roman" w:hAnsi="Times New Roman" w:cs="Times New Roman"/>
          <w:sz w:val="24"/>
          <w:szCs w:val="24"/>
          <w:lang w:eastAsia="es-AR"/>
        </w:rPr>
      </w:pPr>
      <w:r w:rsidRPr="003C2BF5">
        <w:rPr>
          <w:rFonts w:ascii="Times New Roman" w:eastAsia="Times New Roman" w:hAnsi="Times New Roman" w:cs="Times New Roman"/>
          <w:sz w:val="24"/>
          <w:szCs w:val="24"/>
          <w:lang w:eastAsia="es-AR"/>
        </w:rPr>
        <w:t>SANCIONA CON FUERZA DE L E Y</w:t>
      </w:r>
    </w:p>
    <w:p w14:paraId="2AFD48F4" w14:textId="77777777" w:rsidR="003C2BF5" w:rsidRPr="003C2BF5" w:rsidRDefault="003C2BF5" w:rsidP="00190C9B">
      <w:pPr>
        <w:spacing w:before="100" w:beforeAutospacing="1" w:after="100" w:afterAutospacing="1" w:line="240" w:lineRule="auto"/>
        <w:ind w:left="360"/>
        <w:jc w:val="both"/>
        <w:rPr>
          <w:rFonts w:ascii="Times New Roman" w:eastAsia="Times New Roman" w:hAnsi="Times New Roman" w:cs="Times New Roman"/>
          <w:sz w:val="24"/>
          <w:szCs w:val="24"/>
          <w:lang w:eastAsia="es-AR"/>
        </w:rPr>
      </w:pPr>
    </w:p>
    <w:p w14:paraId="51E48F55" w14:textId="77777777" w:rsidR="003C2BF5" w:rsidRPr="003C2BF5" w:rsidRDefault="003C2BF5" w:rsidP="0044042D">
      <w:pPr>
        <w:spacing w:before="100" w:beforeAutospacing="1" w:after="100" w:afterAutospacing="1" w:line="240" w:lineRule="auto"/>
        <w:ind w:left="360"/>
        <w:jc w:val="center"/>
        <w:rPr>
          <w:rFonts w:ascii="Times New Roman" w:eastAsia="Times New Roman" w:hAnsi="Times New Roman" w:cs="Times New Roman"/>
          <w:b/>
          <w:bCs/>
          <w:sz w:val="24"/>
          <w:szCs w:val="24"/>
          <w:lang w:eastAsia="es-AR"/>
        </w:rPr>
      </w:pPr>
      <w:r w:rsidRPr="003C2BF5">
        <w:rPr>
          <w:rFonts w:ascii="Times New Roman" w:eastAsia="Times New Roman" w:hAnsi="Times New Roman" w:cs="Times New Roman"/>
          <w:b/>
          <w:bCs/>
          <w:sz w:val="24"/>
          <w:szCs w:val="24"/>
          <w:lang w:eastAsia="es-AR"/>
        </w:rPr>
        <w:t>Regulación de las actividades vinculadas al acopio,</w:t>
      </w:r>
    </w:p>
    <w:p w14:paraId="485B8FC9" w14:textId="77777777" w:rsidR="003C2BF5" w:rsidRPr="003C2BF5" w:rsidRDefault="003C2BF5" w:rsidP="003C2BF5">
      <w:pPr>
        <w:spacing w:line="278" w:lineRule="auto"/>
        <w:jc w:val="center"/>
        <w:rPr>
          <w:rFonts w:ascii="Times New Roman" w:eastAsia="Aptos" w:hAnsi="Times New Roman" w:cs="Times New Roman"/>
          <w:b/>
          <w:bCs/>
          <w:kern w:val="2"/>
          <w:sz w:val="24"/>
          <w:szCs w:val="24"/>
          <w14:ligatures w14:val="standardContextual"/>
        </w:rPr>
      </w:pPr>
      <w:proofErr w:type="gramStart"/>
      <w:r w:rsidRPr="003C2BF5">
        <w:rPr>
          <w:rFonts w:ascii="Times New Roman" w:eastAsia="Aptos" w:hAnsi="Times New Roman" w:cs="Times New Roman"/>
          <w:b/>
          <w:bCs/>
          <w:kern w:val="2"/>
          <w:sz w:val="24"/>
          <w:szCs w:val="24"/>
          <w14:ligatures w14:val="standardContextual"/>
        </w:rPr>
        <w:t>comercialización</w:t>
      </w:r>
      <w:proofErr w:type="gramEnd"/>
      <w:r w:rsidRPr="003C2BF5">
        <w:rPr>
          <w:rFonts w:ascii="Times New Roman" w:eastAsia="Aptos" w:hAnsi="Times New Roman" w:cs="Times New Roman"/>
          <w:b/>
          <w:bCs/>
          <w:kern w:val="2"/>
          <w:sz w:val="24"/>
          <w:szCs w:val="24"/>
          <w14:ligatures w14:val="standardContextual"/>
        </w:rPr>
        <w:t xml:space="preserve"> y transporte de metales no ferrosos</w:t>
      </w:r>
    </w:p>
    <w:p w14:paraId="7BA7FF09"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1º.- Objeto.</w:t>
      </w:r>
      <w:r w:rsidRPr="003C2BF5">
        <w:rPr>
          <w:rFonts w:ascii="Times New Roman" w:eastAsia="Aptos" w:hAnsi="Times New Roman" w:cs="Times New Roman"/>
          <w:kern w:val="2"/>
          <w:sz w:val="24"/>
          <w:szCs w:val="24"/>
          <w14:ligatures w14:val="standardContextual"/>
        </w:rPr>
        <w:t xml:space="preserve"> La presente ley regula la actividad de personas humanas y jurídicas vinculada a los metales no ferrosos, sea su acopio, reducción y fundición, fabricación de bienes que incorporen estos materiales, de compraventa ambulante de estos materiales, </w:t>
      </w:r>
      <w:proofErr w:type="spellStart"/>
      <w:r w:rsidRPr="003C2BF5">
        <w:rPr>
          <w:rFonts w:ascii="Times New Roman" w:eastAsia="Aptos" w:hAnsi="Times New Roman" w:cs="Times New Roman"/>
          <w:kern w:val="2"/>
          <w:sz w:val="24"/>
          <w:szCs w:val="24"/>
          <w14:ligatures w14:val="standardContextual"/>
        </w:rPr>
        <w:t>desarmaderos</w:t>
      </w:r>
      <w:proofErr w:type="spellEnd"/>
      <w:r w:rsidRPr="003C2BF5">
        <w:rPr>
          <w:rFonts w:ascii="Times New Roman" w:eastAsia="Aptos" w:hAnsi="Times New Roman" w:cs="Times New Roman"/>
          <w:kern w:val="2"/>
          <w:sz w:val="24"/>
          <w:szCs w:val="24"/>
          <w14:ligatures w14:val="standardContextual"/>
        </w:rPr>
        <w:t xml:space="preserve">, chatarrerías, depósitos, recuperadoras adquisiciones a título gratuito u oneroso, compraventa y transporte de dichos productos, de manera principal o accesoria, permanente o eventual. </w:t>
      </w:r>
    </w:p>
    <w:p w14:paraId="76F0077C"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2º.- Definición.</w:t>
      </w:r>
      <w:r w:rsidRPr="003C2BF5">
        <w:rPr>
          <w:rFonts w:ascii="Times New Roman" w:eastAsia="Aptos" w:hAnsi="Times New Roman" w:cs="Times New Roman"/>
          <w:kern w:val="2"/>
          <w:sz w:val="24"/>
          <w:szCs w:val="24"/>
          <w14:ligatures w14:val="standardContextual"/>
        </w:rPr>
        <w:t xml:space="preserve"> Se entiende por metales no ferrosos a todos los metales y aleaciones que carecen de cantidades significativas de hierro en su composición, conforme la siguiente enumeración no taxativa: cobre, estaño, plomo, níquel, cobalto, cromo, molibdeno, titanio, tantalio, niobio, tungsteno, cerio, aleaciones de aluminio-cobre, aluminio-manganeso, aluminio-silicio, aluminio-magnesio-silicio, aluminio-zinc, bronces al estaño, bronces al plomo, bronces al aluminio, bronces al silicio, bronces al berilio, latón blando, duro y semiduro, antimonio, entre otros. </w:t>
      </w:r>
    </w:p>
    <w:p w14:paraId="715C0CC4"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3º.- Autoridad de aplicación.</w:t>
      </w:r>
      <w:r w:rsidRPr="003C2BF5">
        <w:rPr>
          <w:rFonts w:ascii="Times New Roman" w:eastAsia="Aptos" w:hAnsi="Times New Roman" w:cs="Times New Roman"/>
          <w:kern w:val="2"/>
          <w:sz w:val="24"/>
          <w:szCs w:val="24"/>
          <w14:ligatures w14:val="standardContextual"/>
        </w:rPr>
        <w:t xml:space="preserve"> Es autoridad de aplicación de la presente ley el Ministerio de Seguridad y Justicia o el organismo que en el futuro lo reemplace. </w:t>
      </w:r>
    </w:p>
    <w:p w14:paraId="7362AA9E"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4º.- Exclusiones.</w:t>
      </w:r>
      <w:r w:rsidRPr="003C2BF5">
        <w:rPr>
          <w:rFonts w:ascii="Times New Roman" w:eastAsia="Aptos" w:hAnsi="Times New Roman" w:cs="Times New Roman"/>
          <w:kern w:val="2"/>
          <w:sz w:val="24"/>
          <w:szCs w:val="24"/>
          <w14:ligatures w14:val="standardContextual"/>
        </w:rPr>
        <w:t xml:space="preserve"> Quedan exceptuados de la regulación de la presente ley los yacimientos de minerales no ferrosos y los productores primarios de estos minerales. </w:t>
      </w:r>
    </w:p>
    <w:p w14:paraId="2B387380"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5º.- Registro.</w:t>
      </w:r>
      <w:r w:rsidRPr="003C2BF5">
        <w:rPr>
          <w:rFonts w:ascii="Times New Roman" w:eastAsia="Aptos" w:hAnsi="Times New Roman" w:cs="Times New Roman"/>
          <w:kern w:val="2"/>
          <w:sz w:val="24"/>
          <w:szCs w:val="24"/>
          <w14:ligatures w14:val="standardContextual"/>
        </w:rPr>
        <w:t xml:space="preserve"> Se crea en el ámbito del Ministerio de Seguridad y Justicia el Registro Provincial de Acopiadores y Comercializadores de Metales No Ferrosos, donde deben inscribirse las personas indicadas en el artículo 1°, acreditando la documentación que la reglamentación determina. </w:t>
      </w:r>
    </w:p>
    <w:p w14:paraId="2FB3B1F8"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6º.- Asiento de operaciones.</w:t>
      </w:r>
      <w:r w:rsidRPr="003C2BF5">
        <w:rPr>
          <w:rFonts w:ascii="Times New Roman" w:eastAsia="Aptos" w:hAnsi="Times New Roman" w:cs="Times New Roman"/>
          <w:kern w:val="2"/>
          <w:sz w:val="24"/>
          <w:szCs w:val="24"/>
          <w14:ligatures w14:val="standardContextual"/>
        </w:rPr>
        <w:t xml:space="preserve"> Los sujetos alcanzados deben asentar todas sus operaciones de adquisición a cualquier título, enajenación y traslado de metales no ferrosos en el sistema que a tal fin establece la autoridad de aplicación. Cada operación debe ser consignada de forma inequívoca, según lo exige la presente ley y su reglamentación. </w:t>
      </w:r>
    </w:p>
    <w:p w14:paraId="1BBF40FA" w14:textId="2B9D362C"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7º.- Servicios públicos.</w:t>
      </w:r>
      <w:r w:rsidRPr="003C2BF5">
        <w:rPr>
          <w:rFonts w:ascii="Times New Roman" w:eastAsia="Aptos" w:hAnsi="Times New Roman" w:cs="Times New Roman"/>
          <w:kern w:val="2"/>
          <w:sz w:val="24"/>
          <w:szCs w:val="24"/>
          <w14:ligatures w14:val="standardContextual"/>
        </w:rPr>
        <w:t xml:space="preserve"> Las entidades públicas y privadas que presten servicios públicos deben registrar catálogos de metales no ferrosos utilizados en sus instalaciones ante la autoridad de </w:t>
      </w:r>
      <w:r w:rsidR="00747C11">
        <w:rPr>
          <w:noProof/>
          <w:lang w:eastAsia="es-AR"/>
        </w:rPr>
        <w:lastRenderedPageBreak/>
        <w:drawing>
          <wp:inline distT="0" distB="0" distL="0" distR="0" wp14:anchorId="493402A3" wp14:editId="195B0626">
            <wp:extent cx="6120130" cy="892175"/>
            <wp:effectExtent l="0" t="0" r="0" b="3175"/>
            <wp:docPr id="2007643449" name="Imagen 2007643449"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Pr="003C2BF5">
        <w:rPr>
          <w:rFonts w:ascii="Times New Roman" w:eastAsia="Aptos" w:hAnsi="Times New Roman" w:cs="Times New Roman"/>
          <w:kern w:val="2"/>
          <w:sz w:val="24"/>
          <w:szCs w:val="24"/>
          <w14:ligatures w14:val="standardContextual"/>
        </w:rPr>
        <w:t xml:space="preserve">aplicación, aportando una descripción detallada y una fotografía o ilustración técnica, con el objeto de dar publicidad sobre su propiedad y uso exclusivo. </w:t>
      </w:r>
    </w:p>
    <w:p w14:paraId="132C6E0C"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8º.- Obligaciones.</w:t>
      </w:r>
      <w:r w:rsidRPr="003C2BF5">
        <w:rPr>
          <w:rFonts w:ascii="Times New Roman" w:eastAsia="Aptos" w:hAnsi="Times New Roman" w:cs="Times New Roman"/>
          <w:kern w:val="2"/>
          <w:sz w:val="24"/>
          <w:szCs w:val="24"/>
          <w14:ligatures w14:val="standardContextual"/>
        </w:rPr>
        <w:t xml:space="preserve"> Los sujetos alcanzados por la presente ley tienen la obligación de: </w:t>
      </w:r>
    </w:p>
    <w:p w14:paraId="2A8670D1"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a) Exhibir durante las fiscalizaciones el registro de las operaciones de adquisición, su existencia física, enajenación o transporte y la documentación comercial o de transporte </w:t>
      </w:r>
      <w:proofErr w:type="spellStart"/>
      <w:r w:rsidRPr="003C2BF5">
        <w:rPr>
          <w:rFonts w:ascii="Times New Roman" w:eastAsia="Aptos" w:hAnsi="Times New Roman" w:cs="Times New Roman"/>
          <w:kern w:val="2"/>
          <w:sz w:val="24"/>
          <w:szCs w:val="24"/>
          <w14:ligatures w14:val="standardContextual"/>
        </w:rPr>
        <w:t>respaldatoria</w:t>
      </w:r>
      <w:proofErr w:type="spellEnd"/>
      <w:r w:rsidRPr="003C2BF5">
        <w:rPr>
          <w:rFonts w:ascii="Times New Roman" w:eastAsia="Aptos" w:hAnsi="Times New Roman" w:cs="Times New Roman"/>
          <w:kern w:val="2"/>
          <w:sz w:val="24"/>
          <w:szCs w:val="24"/>
          <w14:ligatures w14:val="standardContextual"/>
        </w:rPr>
        <w:t xml:space="preserve"> de tales actos. </w:t>
      </w:r>
    </w:p>
    <w:p w14:paraId="02A2CD15"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b) Exhibir la habilitación comercial y las constancias de inscripción en la Administración Federal de Ingresos Públicos y la autoridad tributaria provincial, de las partes que celebran los actos de adquisición, enajenación y traslados. </w:t>
      </w:r>
    </w:p>
    <w:p w14:paraId="3AA25939"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c) Conservar los libros y registros por un lapso de cinco (5) años, a partir del ingreso de las piezas o su fraccionamiento, y presentarlos ante la autoridad de control cuando sea requerido. </w:t>
      </w:r>
    </w:p>
    <w:p w14:paraId="0145BB33"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9º.- Facultades.</w:t>
      </w:r>
      <w:r w:rsidRPr="003C2BF5">
        <w:rPr>
          <w:rFonts w:ascii="Times New Roman" w:eastAsia="Aptos" w:hAnsi="Times New Roman" w:cs="Times New Roman"/>
          <w:kern w:val="2"/>
          <w:sz w:val="24"/>
          <w:szCs w:val="24"/>
          <w14:ligatures w14:val="standardContextual"/>
        </w:rPr>
        <w:t xml:space="preserve"> La autoridad de aplicación está facultada para: </w:t>
      </w:r>
    </w:p>
    <w:p w14:paraId="6B2B55B0"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a) Fiscalizar y exigir el cumplimiento de la presente. </w:t>
      </w:r>
    </w:p>
    <w:p w14:paraId="788329AF"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b) Requerir la exhibición de los metales adquiridos y la documentación </w:t>
      </w:r>
      <w:proofErr w:type="spellStart"/>
      <w:r w:rsidRPr="003C2BF5">
        <w:rPr>
          <w:rFonts w:ascii="Times New Roman" w:eastAsia="Aptos" w:hAnsi="Times New Roman" w:cs="Times New Roman"/>
          <w:kern w:val="2"/>
          <w:sz w:val="24"/>
          <w:szCs w:val="24"/>
          <w14:ligatures w14:val="standardContextual"/>
        </w:rPr>
        <w:t>respaldatoria</w:t>
      </w:r>
      <w:proofErr w:type="spellEnd"/>
      <w:r w:rsidRPr="003C2BF5">
        <w:rPr>
          <w:rFonts w:ascii="Times New Roman" w:eastAsia="Aptos" w:hAnsi="Times New Roman" w:cs="Times New Roman"/>
          <w:kern w:val="2"/>
          <w:sz w:val="24"/>
          <w:szCs w:val="24"/>
          <w14:ligatures w14:val="standardContextual"/>
        </w:rPr>
        <w:t xml:space="preserve"> correspondiente. </w:t>
      </w:r>
    </w:p>
    <w:p w14:paraId="5AE327C4"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c) Proceder al secuestro preventivo de la mercadería encontrada en infracción a la presente, y/o de los bienes y medios empleados para ello, cuando ello se advierta durante un procedimiento de inspección, debiendo comunicar inmediatamente a las autoridades administrativas y judiciales dicha medida. </w:t>
      </w:r>
    </w:p>
    <w:p w14:paraId="57797A85"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10.- Infracciones.</w:t>
      </w:r>
      <w:r w:rsidRPr="003C2BF5">
        <w:rPr>
          <w:rFonts w:ascii="Times New Roman" w:eastAsia="Aptos" w:hAnsi="Times New Roman" w:cs="Times New Roman"/>
          <w:kern w:val="2"/>
          <w:sz w:val="24"/>
          <w:szCs w:val="24"/>
          <w14:ligatures w14:val="standardContextual"/>
        </w:rPr>
        <w:t xml:space="preserve"> El incumplimiento de las disposiciones de la presente ley o de las reglamentaciones que en su consecuencia se dicten, sin perjuicio de las sanciones civiles y/o penales que pudieran corresponder, dará origen al sumario administrativo correspondiente, garantizando el derecho de defensa. </w:t>
      </w:r>
    </w:p>
    <w:p w14:paraId="6A5E24DE"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11.- Sanciones.</w:t>
      </w:r>
      <w:r w:rsidRPr="003C2BF5">
        <w:rPr>
          <w:rFonts w:ascii="Times New Roman" w:eastAsia="Aptos" w:hAnsi="Times New Roman" w:cs="Times New Roman"/>
          <w:kern w:val="2"/>
          <w:sz w:val="24"/>
          <w:szCs w:val="24"/>
          <w14:ligatures w14:val="standardContextual"/>
        </w:rPr>
        <w:t xml:space="preserve"> Los infractores serán pasibles de las siguientes sanciones: </w:t>
      </w:r>
    </w:p>
    <w:p w14:paraId="38B94FB6"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a) Apercibimiento. </w:t>
      </w:r>
    </w:p>
    <w:p w14:paraId="3833C4A5"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b) Multa, de aplicación principal o accesoria, de entre uno (1) y dos mil (2000) salarios mínimos vital y móvil. </w:t>
      </w:r>
    </w:p>
    <w:p w14:paraId="350BCB61"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kern w:val="2"/>
          <w:sz w:val="24"/>
          <w:szCs w:val="24"/>
          <w14:ligatures w14:val="standardContextual"/>
        </w:rPr>
        <w:t xml:space="preserve">c) Clausura, temporal o definitiva, parcial o total, del establecimiento. </w:t>
      </w:r>
    </w:p>
    <w:p w14:paraId="20860F1F"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12.- Calificación de la infracción.</w:t>
      </w:r>
      <w:r w:rsidRPr="003C2BF5">
        <w:rPr>
          <w:rFonts w:ascii="Times New Roman" w:eastAsia="Aptos" w:hAnsi="Times New Roman" w:cs="Times New Roman"/>
          <w:kern w:val="2"/>
          <w:sz w:val="24"/>
          <w:szCs w:val="24"/>
          <w14:ligatures w14:val="standardContextual"/>
        </w:rPr>
        <w:t xml:space="preserve"> Las infracciones son calificadas por la autoridad de aplicación según la gravedad, extensión y consecuencias del daño ocasionado en muy graves, graves, medias y leves, y son aplicadas conforme el procedimiento que determina la reglamentación de la presente. </w:t>
      </w:r>
    </w:p>
    <w:p w14:paraId="51FEEBA8" w14:textId="4C7FDA54" w:rsidR="003C2BF5" w:rsidRPr="003C2BF5" w:rsidRDefault="00747C11" w:rsidP="003C2BF5">
      <w:pPr>
        <w:spacing w:line="278" w:lineRule="auto"/>
        <w:jc w:val="both"/>
        <w:rPr>
          <w:rFonts w:ascii="Times New Roman" w:eastAsia="Aptos" w:hAnsi="Times New Roman" w:cs="Times New Roman"/>
          <w:kern w:val="2"/>
          <w:sz w:val="24"/>
          <w:szCs w:val="24"/>
          <w14:ligatures w14:val="standardContextual"/>
        </w:rPr>
      </w:pPr>
      <w:r>
        <w:rPr>
          <w:noProof/>
          <w:lang w:eastAsia="es-AR"/>
        </w:rPr>
        <w:lastRenderedPageBreak/>
        <w:drawing>
          <wp:inline distT="0" distB="0" distL="0" distR="0" wp14:anchorId="5FE7B157" wp14:editId="1B211C76">
            <wp:extent cx="6120130" cy="892175"/>
            <wp:effectExtent l="0" t="0" r="0" b="3175"/>
            <wp:docPr id="449053340" name="Imagen 449053340"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36068" name="Imagen 572936068" descr="Imagen que contiene Rectángulo&#10;&#10;Descripción generada automáticamente"/>
                    <pic:cNvPicPr/>
                  </pic:nvPicPr>
                  <pic:blipFill>
                    <a:blip r:embed="rId7">
                      <a:extLst>
                        <a:ext uri="{28A0092B-C50C-407E-A947-70E740481C1C}">
                          <a14:useLocalDpi xmlns:a14="http://schemas.microsoft.com/office/drawing/2010/main" val="0"/>
                        </a:ext>
                      </a:extLst>
                    </a:blip>
                    <a:stretch>
                      <a:fillRect/>
                    </a:stretch>
                  </pic:blipFill>
                  <pic:spPr>
                    <a:xfrm>
                      <a:off x="0" y="0"/>
                      <a:ext cx="6120130" cy="892175"/>
                    </a:xfrm>
                    <a:prstGeom prst="rect">
                      <a:avLst/>
                    </a:prstGeom>
                  </pic:spPr>
                </pic:pic>
              </a:graphicData>
            </a:graphic>
          </wp:inline>
        </w:drawing>
      </w:r>
      <w:r w:rsidR="003C2BF5" w:rsidRPr="003C2BF5">
        <w:rPr>
          <w:rFonts w:ascii="Times New Roman" w:eastAsia="Aptos" w:hAnsi="Times New Roman" w:cs="Times New Roman"/>
          <w:b/>
          <w:bCs/>
          <w:kern w:val="2"/>
          <w:sz w:val="24"/>
          <w:szCs w:val="24"/>
          <w14:ligatures w14:val="standardContextual"/>
        </w:rPr>
        <w:t>Artículo 13.- Facultad reglamentaria.</w:t>
      </w:r>
      <w:r w:rsidR="003C2BF5" w:rsidRPr="003C2BF5">
        <w:rPr>
          <w:rFonts w:ascii="Times New Roman" w:eastAsia="Aptos" w:hAnsi="Times New Roman" w:cs="Times New Roman"/>
          <w:kern w:val="2"/>
          <w:sz w:val="24"/>
          <w:szCs w:val="24"/>
          <w14:ligatures w14:val="standardContextual"/>
        </w:rPr>
        <w:t xml:space="preserve"> Se faculta a la autoridad de aplicación a dictar las normas complementarias, aclaratorias y operativas necesarias para el cumplimiento de la presente. </w:t>
      </w:r>
    </w:p>
    <w:p w14:paraId="3BA36C3D"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14.- Presupuesto.</w:t>
      </w:r>
      <w:r w:rsidRPr="003C2BF5">
        <w:rPr>
          <w:rFonts w:ascii="Times New Roman" w:eastAsia="Aptos" w:hAnsi="Times New Roman" w:cs="Times New Roman"/>
          <w:kern w:val="2"/>
          <w:sz w:val="24"/>
          <w:szCs w:val="24"/>
          <w14:ligatures w14:val="standardContextual"/>
        </w:rPr>
        <w:t xml:space="preserve"> Se autoriza al Poder Ejecutivo a realizar las modificaciones presupuestarias que resulten necesarias a los fines de la implementación de la presente ley. </w:t>
      </w:r>
    </w:p>
    <w:p w14:paraId="077C42B2"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15.- Adhesión.</w:t>
      </w:r>
      <w:r w:rsidRPr="003C2BF5">
        <w:rPr>
          <w:rFonts w:ascii="Times New Roman" w:eastAsia="Aptos" w:hAnsi="Times New Roman" w:cs="Times New Roman"/>
          <w:kern w:val="2"/>
          <w:sz w:val="24"/>
          <w:szCs w:val="24"/>
          <w14:ligatures w14:val="standardContextual"/>
        </w:rPr>
        <w:t xml:space="preserve"> Se invita a los municipios y comunas a adherir a la presente ley en el marco de sus competencias. </w:t>
      </w:r>
    </w:p>
    <w:p w14:paraId="451754AC"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r w:rsidRPr="003C2BF5">
        <w:rPr>
          <w:rFonts w:ascii="Times New Roman" w:eastAsia="Aptos" w:hAnsi="Times New Roman" w:cs="Times New Roman"/>
          <w:b/>
          <w:bCs/>
          <w:kern w:val="2"/>
          <w:sz w:val="24"/>
          <w:szCs w:val="24"/>
          <w14:ligatures w14:val="standardContextual"/>
        </w:rPr>
        <w:t>Artículo 16.-</w:t>
      </w:r>
      <w:r w:rsidRPr="003C2BF5">
        <w:rPr>
          <w:rFonts w:ascii="Times New Roman" w:eastAsia="Aptos" w:hAnsi="Times New Roman" w:cs="Times New Roman"/>
          <w:kern w:val="2"/>
          <w:sz w:val="24"/>
          <w:szCs w:val="24"/>
          <w14:ligatures w14:val="standardContextual"/>
        </w:rPr>
        <w:t xml:space="preserve"> Comuníquese al Poder Ejecutivo y archívese.</w:t>
      </w:r>
    </w:p>
    <w:p w14:paraId="2B181231" w14:textId="77777777" w:rsidR="003C2BF5" w:rsidRPr="003C2BF5" w:rsidRDefault="003C2BF5" w:rsidP="003C2BF5">
      <w:pPr>
        <w:spacing w:line="278" w:lineRule="auto"/>
        <w:jc w:val="both"/>
        <w:rPr>
          <w:rFonts w:ascii="Times New Roman" w:eastAsia="Aptos" w:hAnsi="Times New Roman" w:cs="Times New Roman"/>
          <w:kern w:val="2"/>
          <w:sz w:val="24"/>
          <w:szCs w:val="24"/>
          <w14:ligatures w14:val="standardContextual"/>
        </w:rPr>
      </w:pPr>
    </w:p>
    <w:p w14:paraId="557EB51F" w14:textId="77777777" w:rsidR="003C2BF5" w:rsidRPr="003C2BF5" w:rsidRDefault="003C2BF5" w:rsidP="003C2BF5">
      <w:pPr>
        <w:spacing w:line="278" w:lineRule="auto"/>
        <w:jc w:val="both"/>
        <w:rPr>
          <w:rFonts w:ascii="Aptos" w:eastAsia="Aptos" w:hAnsi="Aptos" w:cs="Times New Roman"/>
          <w:kern w:val="2"/>
          <w:sz w:val="24"/>
          <w:szCs w:val="24"/>
          <w14:ligatures w14:val="standardContextual"/>
        </w:rPr>
      </w:pPr>
    </w:p>
    <w:p w14:paraId="3101668D" w14:textId="4DFBF2D9" w:rsidR="007B1CFB" w:rsidRDefault="00FE17AC">
      <w:r>
        <w:br w:type="page"/>
      </w:r>
      <w:r w:rsidR="007B1CFB">
        <w:lastRenderedPageBreak/>
        <w:br w:type="page"/>
      </w:r>
    </w:p>
    <w:sectPr w:rsidR="007B1CFB" w:rsidSect="0092398B">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C3C96" w14:textId="77777777" w:rsidR="00A61910" w:rsidRDefault="00A61910" w:rsidP="0092398B">
      <w:pPr>
        <w:spacing w:after="0" w:line="240" w:lineRule="auto"/>
      </w:pPr>
      <w:r>
        <w:separator/>
      </w:r>
    </w:p>
  </w:endnote>
  <w:endnote w:type="continuationSeparator" w:id="0">
    <w:p w14:paraId="75A4D67E" w14:textId="77777777" w:rsidR="00A61910" w:rsidRDefault="00A61910" w:rsidP="00923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0DF90" w14:textId="77777777" w:rsidR="0092398B" w:rsidRDefault="00620BEF">
    <w:pPr>
      <w:pStyle w:val="Piedepgina"/>
    </w:pPr>
    <w:r>
      <w:rPr>
        <w:noProof/>
        <w:lang w:eastAsia="es-AR"/>
      </w:rPr>
      <w:drawing>
        <wp:inline distT="0" distB="0" distL="0" distR="0" wp14:anchorId="43374476" wp14:editId="3A4A38BD">
          <wp:extent cx="6120130" cy="86550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 página2.png"/>
                  <pic:cNvPicPr/>
                </pic:nvPicPr>
                <pic:blipFill>
                  <a:blip r:embed="rId1">
                    <a:extLst>
                      <a:ext uri="{28A0092B-C50C-407E-A947-70E740481C1C}">
                        <a14:useLocalDpi xmlns:a14="http://schemas.microsoft.com/office/drawing/2010/main" val="0"/>
                      </a:ext>
                    </a:extLst>
                  </a:blip>
                  <a:stretch>
                    <a:fillRect/>
                  </a:stretch>
                </pic:blipFill>
                <pic:spPr>
                  <a:xfrm>
                    <a:off x="0" y="0"/>
                    <a:ext cx="6120130" cy="86550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9E42C8" w14:textId="77777777" w:rsidR="00A61910" w:rsidRDefault="00A61910" w:rsidP="0092398B">
      <w:pPr>
        <w:spacing w:after="0" w:line="240" w:lineRule="auto"/>
      </w:pPr>
      <w:r>
        <w:separator/>
      </w:r>
    </w:p>
  </w:footnote>
  <w:footnote w:type="continuationSeparator" w:id="0">
    <w:p w14:paraId="4DA54384" w14:textId="77777777" w:rsidR="00A61910" w:rsidRDefault="00A61910" w:rsidP="009239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9B2494"/>
    <w:multiLevelType w:val="multilevel"/>
    <w:tmpl w:val="F6801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7C23D32"/>
    <w:multiLevelType w:val="multilevel"/>
    <w:tmpl w:val="EFFE8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DB545E"/>
    <w:multiLevelType w:val="multilevel"/>
    <w:tmpl w:val="C8D0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8B"/>
    <w:rsid w:val="00060A22"/>
    <w:rsid w:val="0006227F"/>
    <w:rsid w:val="00075FA1"/>
    <w:rsid w:val="000A2074"/>
    <w:rsid w:val="000C0D8D"/>
    <w:rsid w:val="000E0865"/>
    <w:rsid w:val="000E6997"/>
    <w:rsid w:val="00141113"/>
    <w:rsid w:val="00145F96"/>
    <w:rsid w:val="00146DF5"/>
    <w:rsid w:val="00170B30"/>
    <w:rsid w:val="00190C9B"/>
    <w:rsid w:val="001C4526"/>
    <w:rsid w:val="0029200F"/>
    <w:rsid w:val="002959BE"/>
    <w:rsid w:val="002D0F2F"/>
    <w:rsid w:val="002E149E"/>
    <w:rsid w:val="00375302"/>
    <w:rsid w:val="003C2BF5"/>
    <w:rsid w:val="003F4BEF"/>
    <w:rsid w:val="0044042D"/>
    <w:rsid w:val="004A7005"/>
    <w:rsid w:val="00517206"/>
    <w:rsid w:val="00551F89"/>
    <w:rsid w:val="00553737"/>
    <w:rsid w:val="005B1E2A"/>
    <w:rsid w:val="006008DA"/>
    <w:rsid w:val="00620BEF"/>
    <w:rsid w:val="0064464B"/>
    <w:rsid w:val="00656423"/>
    <w:rsid w:val="006A15E9"/>
    <w:rsid w:val="006C0DD5"/>
    <w:rsid w:val="006E6D62"/>
    <w:rsid w:val="007060E6"/>
    <w:rsid w:val="007344A3"/>
    <w:rsid w:val="00747C11"/>
    <w:rsid w:val="007711E3"/>
    <w:rsid w:val="00775EFD"/>
    <w:rsid w:val="00784D31"/>
    <w:rsid w:val="007A2B51"/>
    <w:rsid w:val="007B1CFB"/>
    <w:rsid w:val="0080727A"/>
    <w:rsid w:val="008C6B37"/>
    <w:rsid w:val="008E3D2B"/>
    <w:rsid w:val="009179EC"/>
    <w:rsid w:val="0092398B"/>
    <w:rsid w:val="0095262B"/>
    <w:rsid w:val="009759D9"/>
    <w:rsid w:val="00A320B9"/>
    <w:rsid w:val="00A37DCB"/>
    <w:rsid w:val="00A5211C"/>
    <w:rsid w:val="00A61910"/>
    <w:rsid w:val="00A83B83"/>
    <w:rsid w:val="00AB6CD8"/>
    <w:rsid w:val="00AD088C"/>
    <w:rsid w:val="00B005B7"/>
    <w:rsid w:val="00B11249"/>
    <w:rsid w:val="00B61160"/>
    <w:rsid w:val="00B62289"/>
    <w:rsid w:val="00B91C48"/>
    <w:rsid w:val="00BA6578"/>
    <w:rsid w:val="00BD2338"/>
    <w:rsid w:val="00BF091C"/>
    <w:rsid w:val="00BF3DA4"/>
    <w:rsid w:val="00C34EB5"/>
    <w:rsid w:val="00C35ABD"/>
    <w:rsid w:val="00C45867"/>
    <w:rsid w:val="00C72975"/>
    <w:rsid w:val="00CB21C7"/>
    <w:rsid w:val="00D87BE4"/>
    <w:rsid w:val="00DC153E"/>
    <w:rsid w:val="00DD5266"/>
    <w:rsid w:val="00E376BD"/>
    <w:rsid w:val="00E760B2"/>
    <w:rsid w:val="00E8210C"/>
    <w:rsid w:val="00E969A9"/>
    <w:rsid w:val="00EA5BE8"/>
    <w:rsid w:val="00EB3CF8"/>
    <w:rsid w:val="00EE7EFF"/>
    <w:rsid w:val="00F25D44"/>
    <w:rsid w:val="00F43DF3"/>
    <w:rsid w:val="00F70136"/>
    <w:rsid w:val="00F728C8"/>
    <w:rsid w:val="00F745F2"/>
    <w:rsid w:val="00FA1BEC"/>
    <w:rsid w:val="00FE01D3"/>
    <w:rsid w:val="00FE17A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96414"/>
  <w15:chartTrackingRefBased/>
  <w15:docId w15:val="{BEFC4671-6B1B-4C46-AA8C-677CA94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2398B"/>
  </w:style>
  <w:style w:type="paragraph" w:styleId="Piedepgina">
    <w:name w:val="footer"/>
    <w:basedOn w:val="Normal"/>
    <w:link w:val="PiedepginaCar"/>
    <w:uiPriority w:val="99"/>
    <w:unhideWhenUsed/>
    <w:rsid w:val="009239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2398B"/>
  </w:style>
  <w:style w:type="paragraph" w:styleId="Textodeglobo">
    <w:name w:val="Balloon Text"/>
    <w:basedOn w:val="Normal"/>
    <w:link w:val="TextodegloboCar"/>
    <w:uiPriority w:val="99"/>
    <w:semiHidden/>
    <w:unhideWhenUsed/>
    <w:rsid w:val="0092398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398B"/>
    <w:rPr>
      <w:rFonts w:ascii="Segoe UI" w:hAnsi="Segoe UI" w:cs="Segoe UI"/>
      <w:sz w:val="18"/>
      <w:szCs w:val="18"/>
    </w:rPr>
  </w:style>
  <w:style w:type="paragraph" w:styleId="NormalWeb">
    <w:name w:val="Normal (Web)"/>
    <w:basedOn w:val="Normal"/>
    <w:uiPriority w:val="99"/>
    <w:semiHidden/>
    <w:unhideWhenUsed/>
    <w:rsid w:val="009239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2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2043</Words>
  <Characters>11242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Cuenta Microsoft</cp:lastModifiedBy>
  <cp:revision>2</cp:revision>
  <cp:lastPrinted>2023-12-28T15:25:00Z</cp:lastPrinted>
  <dcterms:created xsi:type="dcterms:W3CDTF">2024-08-01T12:26:00Z</dcterms:created>
  <dcterms:modified xsi:type="dcterms:W3CDTF">2024-08-01T12:26:00Z</dcterms:modified>
</cp:coreProperties>
</file>