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80" w:rsidRDefault="007526A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br/>
      </w: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  <w:r w:rsidRPr="00813EDA">
        <w:rPr>
          <w:noProof/>
          <w:lang w:eastAsia="es-AR"/>
        </w:rPr>
        <w:drawing>
          <wp:inline distT="0" distB="0" distL="0" distR="0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Pr="00E66F80" w:rsidRDefault="007526A7">
      <w:pPr>
        <w:spacing w:after="0" w:line="240" w:lineRule="auto"/>
        <w:rPr>
          <w:rFonts w:ascii="Arial" w:eastAsia="Times New Roman" w:hAnsi="Arial" w:cs="Arial"/>
          <w:b/>
          <w:color w:val="222222"/>
          <w:kern w:val="0"/>
          <w:shd w:val="clear" w:color="auto" w:fill="FFFFFF"/>
          <w:lang w:eastAsia="es-AR"/>
          <w14:ligatures w14:val="none"/>
        </w:rPr>
      </w:pPr>
      <w:r w:rsidRPr="00E66F80">
        <w:rPr>
          <w:rFonts w:ascii="Arial" w:eastAsia="Times New Roman" w:hAnsi="Arial" w:cs="Arial"/>
          <w:b/>
          <w:color w:val="222222"/>
          <w:kern w:val="0"/>
          <w:shd w:val="clear" w:color="auto" w:fill="FFFFFF"/>
          <w:lang w:eastAsia="es-AR"/>
          <w14:ligatures w14:val="none"/>
        </w:rPr>
        <w:t>LA HONORABLE CÁMARA DE SENADORES DE LA PROVINCIA DE ENTRE RÍOS</w:t>
      </w:r>
      <w:r w:rsidRPr="00E66F80">
        <w:rPr>
          <w:rFonts w:ascii="Arial" w:eastAsia="Times New Roman" w:hAnsi="Arial" w:cs="Arial"/>
          <w:b/>
          <w:color w:val="222222"/>
          <w:kern w:val="0"/>
          <w:lang w:eastAsia="es-AR"/>
          <w14:ligatures w14:val="none"/>
        </w:rPr>
        <w:br/>
      </w:r>
      <w:r w:rsidRPr="00E66F80">
        <w:rPr>
          <w:rFonts w:ascii="Arial" w:eastAsia="Times New Roman" w:hAnsi="Arial" w:cs="Arial"/>
          <w:b/>
          <w:color w:val="222222"/>
          <w:kern w:val="0"/>
          <w:lang w:eastAsia="es-AR"/>
          <w14:ligatures w14:val="none"/>
        </w:rPr>
        <w:br/>
      </w:r>
    </w:p>
    <w:p w:rsidR="00E66F80" w:rsidRP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kern w:val="0"/>
          <w:shd w:val="clear" w:color="auto" w:fill="FFFFFF"/>
          <w:lang w:eastAsia="es-AR"/>
          <w14:ligatures w14:val="none"/>
        </w:rPr>
      </w:pPr>
    </w:p>
    <w:p w:rsidR="00E66F80" w:rsidRP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kern w:val="0"/>
          <w:shd w:val="clear" w:color="auto" w:fill="FFFFFF"/>
          <w:lang w:eastAsia="es-AR"/>
          <w14:ligatures w14:val="none"/>
        </w:rPr>
      </w:pPr>
    </w:p>
    <w:p w:rsid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P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  <w:r w:rsidRPr="00E66F80"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  <w:t>COMUNICA</w:t>
      </w:r>
    </w:p>
    <w:p w:rsidR="00E66F80" w:rsidRP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7526A7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Solicita al Poder Ejecutivo que realice las gestiones necesarias ante el Poder Ejecutivo Nacional a fin de que pueda relocalizar la Sección Gualeguay de Gendarmería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  <w:t>Nacional en una zona estratégica cercana a la intersección entre la Ruta Nacional Nro. 12 y la Ruta Provincial Nro. 11, en el Departamento de Gualeguay.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br/>
      </w: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  <w:r w:rsidRPr="00813EDA">
        <w:rPr>
          <w:noProof/>
          <w:lang w:eastAsia="es-AR"/>
        </w:rPr>
        <w:drawing>
          <wp:inline distT="0" distB="0" distL="0" distR="0" wp14:anchorId="5844E232" wp14:editId="65A67F7D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Pr="00E66F80" w:rsidRDefault="00E66F80">
      <w:pPr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Pr="00E66F80" w:rsidRDefault="00E66F80">
      <w:pPr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  <w:r w:rsidRPr="00E66F80"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  <w:t>FUNDAMENTOS</w:t>
      </w: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823CB1" w:rsidRDefault="007526A7" w:rsidP="00E66F80">
      <w:pPr>
        <w:spacing w:after="0" w:line="240" w:lineRule="auto"/>
        <w:jc w:val="both"/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  <w:t>La ciudad de Gualeguay cuenta hace unos años con una Sección de Gendarmería Nacio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nal, siendo de gran importancia el despliegue de dicha Fuerza en la zona abarcada desde la ciudad y gran parte del Departamento homónimo. Dicha Sección pertenece al Escuadrón 56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  <w:t>Gualeguaychú</w:t>
      </w:r>
      <w:proofErr w:type="spellEnd"/>
    </w:p>
    <w:p w:rsidR="00823CB1" w:rsidRDefault="00823CB1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</w:pPr>
    </w:p>
    <w:p w:rsidR="00823CB1" w:rsidRDefault="007526A7" w:rsidP="00E66F80">
      <w:pPr>
        <w:spacing w:after="0" w:line="240" w:lineRule="auto"/>
        <w:jc w:val="both"/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t xml:space="preserve">Dicha Fuerza trabaja de manera coordinada con las otras fuerzas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t>de seguridad en materia de prevención y seguridad en todo el Departamento Gualeguay, resultando esencial su presencia y disposición en el territorio. Gendarmería viene realizando una labor destacada en lo referente a los controles de tránsito para advertir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t xml:space="preserve"> la comisión de cualquier delito que deba ser sancionado.</w:t>
      </w:r>
    </w:p>
    <w:p w:rsidR="00823CB1" w:rsidRDefault="00823CB1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</w:pPr>
    </w:p>
    <w:p w:rsidR="00823CB1" w:rsidRDefault="007526A7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t>El Departamento de Gualeguay se destaca, entre otros puntos, por tener vías de comunicación importantes como lo son las rutas nacionales y provinciales. En particular atraviesan todo el departament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t>o la Ruta Nacional Nro. 12 y la Ruta Provincial Nro. 11, siendo vías importantes para la circulación de vehículos particulares y transportes comerciales.</w:t>
      </w:r>
    </w:p>
    <w:p w:rsidR="00823CB1" w:rsidRDefault="00823CB1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</w:pPr>
    </w:p>
    <w:p w:rsidR="00823CB1" w:rsidRDefault="007526A7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t>Es por ello que resulta relevante que la Sección Gualeguay de Gendarmería Nacional pueda estar ubicad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t>a en un sitio estratégico ubicado en la intersección de ambas rutas mencionadas, en el norte del ejido de la ciudad de Gualeguay.</w:t>
      </w:r>
    </w:p>
    <w:p w:rsidR="00823CB1" w:rsidRDefault="00823CB1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</w:pPr>
    </w:p>
    <w:p w:rsidR="00823CB1" w:rsidRDefault="007526A7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AR"/>
          <w14:ligatures w14:val="none"/>
        </w:rPr>
        <w:t>Por lo expuesto, solicito el acompañamiento del presente proyecto de comunicación.</w:t>
      </w:r>
    </w:p>
    <w:p w:rsidR="00823CB1" w:rsidRDefault="00823CB1" w:rsidP="00E66F80">
      <w:pPr>
        <w:jc w:val="both"/>
      </w:pPr>
    </w:p>
    <w:sectPr w:rsidR="00823CB1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1"/>
    <w:family w:val="roman"/>
    <w:pitch w:val="variable"/>
  </w:font>
  <w:font w:name="Aptos Display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B1"/>
    <w:rsid w:val="007526A7"/>
    <w:rsid w:val="00823CB1"/>
    <w:rsid w:val="00E6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1C723-40B6-4777-AA52-8C525424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4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E4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E4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E4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470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E470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E470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E470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470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E470BF"/>
    <w:rPr>
      <w:rFonts w:eastAsiaTheme="majorEastAsia" w:cstheme="majorBidi"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qFormat/>
    <w:rsid w:val="00E470B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4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E470BF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470BF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E470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0BF"/>
    <w:rPr>
      <w:b/>
      <w:bCs/>
      <w:smallCaps/>
      <w:color w:val="0F4761" w:themeColor="accent1" w:themeShade="BF"/>
      <w:spacing w:val="5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next w:val="Normal"/>
    <w:link w:val="PuestoCar"/>
    <w:uiPriority w:val="10"/>
    <w:qFormat/>
    <w:rsid w:val="00E4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0BF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0BF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0B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Manzo</dc:creator>
  <dc:description/>
  <cp:lastModifiedBy>Cuenta Microsoft</cp:lastModifiedBy>
  <cp:revision>2</cp:revision>
  <dcterms:created xsi:type="dcterms:W3CDTF">2024-07-22T12:08:00Z</dcterms:created>
  <dcterms:modified xsi:type="dcterms:W3CDTF">2024-07-22T12:08:00Z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