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DE" w:rsidRDefault="00915EDE" w:rsidP="00E461F8">
      <w:pPr>
        <w:tabs>
          <w:tab w:val="left" w:pos="9214"/>
          <w:tab w:val="left" w:pos="9356"/>
          <w:tab w:val="left" w:pos="9457"/>
          <w:tab w:val="left" w:pos="9498"/>
        </w:tabs>
        <w:ind w:left="284" w:right="-427"/>
        <w:jc w:val="both"/>
        <w:rPr>
          <w:rFonts w:ascii="Times New Roman" w:hAnsi="Times New Roman"/>
          <w:sz w:val="24"/>
          <w:szCs w:val="24"/>
        </w:rPr>
      </w:pPr>
      <w:bookmarkStart w:id="0" w:name="_GoBack"/>
      <w:bookmarkEnd w:id="0"/>
      <w:r w:rsidRPr="002824F5">
        <w:rPr>
          <w:rFonts w:ascii="Times New Roman" w:hAnsi="Times New Roman"/>
          <w:b/>
          <w:sz w:val="24"/>
          <w:szCs w:val="24"/>
        </w:rPr>
        <w:t>HONORABLE SENADO</w:t>
      </w:r>
      <w:r w:rsidRPr="0097363E">
        <w:rPr>
          <w:rFonts w:ascii="Times New Roman" w:hAnsi="Times New Roman"/>
          <w:sz w:val="24"/>
          <w:szCs w:val="24"/>
        </w:rPr>
        <w:t>:</w:t>
      </w:r>
    </w:p>
    <w:p w:rsidR="00EB3788" w:rsidRPr="0097363E" w:rsidRDefault="00EB3788" w:rsidP="00E461F8">
      <w:pPr>
        <w:tabs>
          <w:tab w:val="left" w:pos="9214"/>
          <w:tab w:val="left" w:pos="9356"/>
          <w:tab w:val="left" w:pos="9457"/>
          <w:tab w:val="left" w:pos="9498"/>
        </w:tabs>
        <w:ind w:left="284" w:right="-427"/>
        <w:jc w:val="both"/>
        <w:rPr>
          <w:rFonts w:ascii="Times New Roman" w:hAnsi="Times New Roman"/>
          <w:sz w:val="24"/>
          <w:szCs w:val="24"/>
        </w:rPr>
      </w:pPr>
    </w:p>
    <w:p w:rsidR="00915EDE" w:rsidRPr="002824F5" w:rsidRDefault="00915EDE" w:rsidP="00E461F8">
      <w:pPr>
        <w:tabs>
          <w:tab w:val="left" w:pos="9214"/>
          <w:tab w:val="left" w:pos="9356"/>
          <w:tab w:val="left" w:pos="9457"/>
          <w:tab w:val="left" w:pos="9498"/>
        </w:tabs>
        <w:ind w:left="284" w:right="-427" w:firstLine="2551"/>
        <w:jc w:val="both"/>
        <w:rPr>
          <w:rFonts w:ascii="Times New Roman" w:hAnsi="Times New Roman"/>
          <w:sz w:val="24"/>
          <w:szCs w:val="24"/>
          <w:lang w:val="es-ES_tradnl"/>
        </w:rPr>
      </w:pPr>
      <w:r>
        <w:rPr>
          <w:rFonts w:ascii="Times New Roman" w:hAnsi="Times New Roman"/>
          <w:sz w:val="24"/>
          <w:szCs w:val="24"/>
        </w:rPr>
        <w:t xml:space="preserve">  </w:t>
      </w:r>
      <w:r w:rsidRPr="0097363E">
        <w:rPr>
          <w:rFonts w:ascii="Times New Roman" w:hAnsi="Times New Roman"/>
          <w:sz w:val="24"/>
          <w:szCs w:val="24"/>
        </w:rPr>
        <w:t xml:space="preserve">Vuestra </w:t>
      </w:r>
      <w:r w:rsidRPr="0097363E">
        <w:rPr>
          <w:rFonts w:ascii="Times New Roman" w:hAnsi="Times New Roman"/>
          <w:b/>
          <w:sz w:val="24"/>
          <w:szCs w:val="24"/>
        </w:rPr>
        <w:t xml:space="preserve">Comisión de </w:t>
      </w:r>
      <w:proofErr w:type="spellStart"/>
      <w:r w:rsidRPr="0097363E">
        <w:rPr>
          <w:rFonts w:ascii="Times New Roman" w:hAnsi="Times New Roman"/>
          <w:b/>
          <w:sz w:val="24"/>
          <w:szCs w:val="24"/>
        </w:rPr>
        <w:t>Hidrovía</w:t>
      </w:r>
      <w:proofErr w:type="spellEnd"/>
      <w:r w:rsidRPr="0097363E">
        <w:rPr>
          <w:rFonts w:ascii="Times New Roman" w:hAnsi="Times New Roman"/>
          <w:b/>
          <w:sz w:val="24"/>
          <w:szCs w:val="24"/>
        </w:rPr>
        <w:t>, Puertos y Transportes Multimodale</w:t>
      </w:r>
      <w:r w:rsidRPr="0097363E">
        <w:rPr>
          <w:rFonts w:ascii="Times New Roman" w:hAnsi="Times New Roman"/>
          <w:b/>
          <w:bCs/>
          <w:sz w:val="24"/>
          <w:szCs w:val="24"/>
        </w:rPr>
        <w:t>s</w:t>
      </w:r>
      <w:r w:rsidRPr="0097363E">
        <w:rPr>
          <w:rFonts w:ascii="Times New Roman" w:hAnsi="Times New Roman"/>
          <w:sz w:val="24"/>
          <w:szCs w:val="24"/>
        </w:rPr>
        <w:t xml:space="preserve">, ha considerado el </w:t>
      </w:r>
      <w:r w:rsidRPr="0097363E">
        <w:rPr>
          <w:rFonts w:ascii="Times New Roman" w:hAnsi="Times New Roman"/>
          <w:b/>
          <w:sz w:val="24"/>
          <w:szCs w:val="24"/>
        </w:rPr>
        <w:t>Proyecto de Ley</w:t>
      </w:r>
      <w:r w:rsidR="00657324" w:rsidRPr="0097363E">
        <w:rPr>
          <w:rFonts w:ascii="Times New Roman" w:hAnsi="Times New Roman"/>
          <w:bCs/>
          <w:sz w:val="24"/>
          <w:szCs w:val="24"/>
        </w:rPr>
        <w:t xml:space="preserve">, </w:t>
      </w:r>
      <w:r w:rsidR="00657324">
        <w:rPr>
          <w:rFonts w:ascii="Times New Roman" w:hAnsi="Times New Roman"/>
          <w:bCs/>
          <w:sz w:val="24"/>
          <w:szCs w:val="24"/>
        </w:rPr>
        <w:t xml:space="preserve">en revisión, </w:t>
      </w:r>
      <w:r w:rsidRPr="0097363E">
        <w:rPr>
          <w:rFonts w:ascii="Times New Roman" w:hAnsi="Times New Roman"/>
          <w:sz w:val="24"/>
          <w:szCs w:val="24"/>
        </w:rPr>
        <w:t xml:space="preserve">contenido en el </w:t>
      </w:r>
      <w:r>
        <w:rPr>
          <w:rFonts w:ascii="Times New Roman" w:hAnsi="Times New Roman"/>
          <w:b/>
          <w:bCs/>
          <w:sz w:val="24"/>
          <w:szCs w:val="24"/>
        </w:rPr>
        <w:t xml:space="preserve">Expediente </w:t>
      </w:r>
      <w:r w:rsidRPr="0097363E">
        <w:rPr>
          <w:rFonts w:ascii="Times New Roman" w:hAnsi="Times New Roman"/>
          <w:b/>
          <w:bCs/>
          <w:sz w:val="24"/>
          <w:szCs w:val="24"/>
        </w:rPr>
        <w:t>N° 13.642</w:t>
      </w:r>
      <w:r w:rsidR="008F026B">
        <w:rPr>
          <w:rFonts w:ascii="Times New Roman" w:hAnsi="Times New Roman"/>
          <w:b/>
          <w:bCs/>
          <w:sz w:val="24"/>
          <w:szCs w:val="24"/>
        </w:rPr>
        <w:t xml:space="preserve"> unificado con Expediente Nº24.225</w:t>
      </w:r>
      <w:r w:rsidR="00657324">
        <w:rPr>
          <w:rFonts w:ascii="Times New Roman" w:hAnsi="Times New Roman"/>
          <w:b/>
          <w:bCs/>
          <w:sz w:val="24"/>
          <w:szCs w:val="24"/>
        </w:rPr>
        <w:t xml:space="preserve">, </w:t>
      </w:r>
      <w:r w:rsidRPr="0097363E">
        <w:rPr>
          <w:rFonts w:ascii="Times New Roman" w:hAnsi="Times New Roman"/>
          <w:sz w:val="24"/>
          <w:szCs w:val="24"/>
        </w:rPr>
        <w:t xml:space="preserve">autoría de los Senadores Maradey, Gay y Amavet, </w:t>
      </w:r>
      <w:r w:rsidRPr="0097363E">
        <w:rPr>
          <w:rFonts w:ascii="Times New Roman" w:hAnsi="Times New Roman"/>
          <w:sz w:val="24"/>
          <w:szCs w:val="24"/>
          <w:shd w:val="clear" w:color="auto" w:fill="FFFFFF"/>
        </w:rPr>
        <w:t>mediante el cual</w:t>
      </w:r>
      <w:r w:rsidRPr="0097363E">
        <w:rPr>
          <w:rFonts w:ascii="Times New Roman" w:hAnsi="Times New Roman"/>
          <w:sz w:val="24"/>
          <w:szCs w:val="24"/>
          <w:lang w:val="es-ES_tradnl"/>
        </w:rPr>
        <w:t xml:space="preserve"> se establece</w:t>
      </w:r>
      <w:r w:rsidRPr="002824F5">
        <w:rPr>
          <w:rFonts w:ascii="Times New Roman" w:hAnsi="Times New Roman" w:cs="Times New Roman"/>
          <w:sz w:val="24"/>
          <w:szCs w:val="24"/>
        </w:rPr>
        <w:t xml:space="preserve"> </w:t>
      </w:r>
      <w:r>
        <w:rPr>
          <w:rFonts w:ascii="Times New Roman" w:hAnsi="Times New Roman" w:cs="Times New Roman"/>
          <w:sz w:val="24"/>
          <w:szCs w:val="24"/>
        </w:rPr>
        <w:t>con carácter obligatorio la instalación progresiva de sistemas integrales de control permanente de peso en el transporte vehicular de cargas en todas las rutas y caminos provinciales</w:t>
      </w:r>
      <w:r w:rsidRPr="0097363E">
        <w:rPr>
          <w:rFonts w:ascii="Times New Roman" w:hAnsi="Times New Roman"/>
          <w:sz w:val="24"/>
          <w:szCs w:val="24"/>
        </w:rPr>
        <w:t xml:space="preserve">, cuyo texto fuera aprobado en reunión de Comisión realizada el </w:t>
      </w:r>
      <w:r>
        <w:rPr>
          <w:rFonts w:ascii="Times New Roman" w:hAnsi="Times New Roman"/>
          <w:sz w:val="24"/>
          <w:szCs w:val="24"/>
        </w:rPr>
        <w:t>día 16 de mayo de 202</w:t>
      </w:r>
      <w:r w:rsidR="00BA5C69">
        <w:rPr>
          <w:rFonts w:ascii="Times New Roman" w:hAnsi="Times New Roman"/>
          <w:sz w:val="24"/>
          <w:szCs w:val="24"/>
        </w:rPr>
        <w:t>2</w:t>
      </w:r>
      <w:r w:rsidRPr="00FC4B27">
        <w:rPr>
          <w:rFonts w:ascii="Times New Roman" w:hAnsi="Times New Roman"/>
          <w:sz w:val="24"/>
          <w:szCs w:val="24"/>
        </w:rPr>
        <w:t>,</w:t>
      </w:r>
      <w:r w:rsidRPr="0097363E">
        <w:rPr>
          <w:rFonts w:ascii="Times New Roman" w:hAnsi="Times New Roman"/>
          <w:sz w:val="24"/>
          <w:szCs w:val="24"/>
        </w:rPr>
        <w:t xml:space="preserve"> en la modalidad establecida p</w:t>
      </w:r>
      <w:r>
        <w:rPr>
          <w:rFonts w:ascii="Times New Roman" w:hAnsi="Times New Roman"/>
          <w:sz w:val="24"/>
          <w:szCs w:val="24"/>
        </w:rPr>
        <w:t>or la Resolución Nº 026 HCS -14</w:t>
      </w:r>
      <w:r w:rsidR="00BA5C69">
        <w:rPr>
          <w:rFonts w:ascii="Times New Roman" w:hAnsi="Times New Roman"/>
          <w:sz w:val="24"/>
          <w:szCs w:val="24"/>
        </w:rPr>
        <w:t>1</w:t>
      </w:r>
      <w:r w:rsidRPr="0097363E">
        <w:rPr>
          <w:rFonts w:ascii="Times New Roman" w:hAnsi="Times New Roman"/>
          <w:sz w:val="24"/>
          <w:szCs w:val="24"/>
        </w:rPr>
        <w:t xml:space="preserve">º Período Legislativo-, contando con el asentimiento de la </w:t>
      </w:r>
      <w:r w:rsidR="00657324">
        <w:rPr>
          <w:rFonts w:ascii="Times New Roman" w:hAnsi="Times New Roman"/>
          <w:sz w:val="24"/>
          <w:szCs w:val="24"/>
        </w:rPr>
        <w:t>Senadora Gieco  y de los S</w:t>
      </w:r>
      <w:r>
        <w:rPr>
          <w:rFonts w:ascii="Times New Roman" w:hAnsi="Times New Roman"/>
          <w:sz w:val="24"/>
          <w:szCs w:val="24"/>
        </w:rPr>
        <w:t xml:space="preserve">enadores </w:t>
      </w:r>
      <w:r w:rsidR="00657324">
        <w:rPr>
          <w:rFonts w:ascii="Times New Roman" w:hAnsi="Times New Roman"/>
          <w:sz w:val="24"/>
          <w:szCs w:val="24"/>
        </w:rPr>
        <w:t>Amavet, Olano y</w:t>
      </w:r>
      <w:r>
        <w:rPr>
          <w:rFonts w:ascii="Times New Roman" w:hAnsi="Times New Roman"/>
          <w:sz w:val="24"/>
          <w:szCs w:val="24"/>
        </w:rPr>
        <w:t xml:space="preserve"> Maradey</w:t>
      </w:r>
      <w:r w:rsidR="00657324">
        <w:rPr>
          <w:rFonts w:ascii="Times New Roman" w:hAnsi="Times New Roman"/>
          <w:sz w:val="24"/>
          <w:szCs w:val="24"/>
        </w:rPr>
        <w:t>;</w:t>
      </w:r>
      <w:r w:rsidRPr="0097363E">
        <w:rPr>
          <w:rFonts w:ascii="Times New Roman" w:hAnsi="Times New Roman"/>
          <w:sz w:val="24"/>
          <w:szCs w:val="24"/>
        </w:rPr>
        <w:t xml:space="preserve"> y ante la imposibilidad de rubricar personalmente el presente dictamen, la Secretaria Adjunta de Comisiones, Dra.</w:t>
      </w:r>
      <w:r w:rsidR="00657324">
        <w:rPr>
          <w:rFonts w:ascii="Times New Roman" w:hAnsi="Times New Roman"/>
          <w:sz w:val="24"/>
          <w:szCs w:val="24"/>
        </w:rPr>
        <w:t xml:space="preserve"> María José </w:t>
      </w:r>
      <w:proofErr w:type="spellStart"/>
      <w:r w:rsidR="00657324">
        <w:rPr>
          <w:rFonts w:ascii="Times New Roman" w:hAnsi="Times New Roman"/>
          <w:sz w:val="24"/>
          <w:szCs w:val="24"/>
        </w:rPr>
        <w:t>Otegu</w:t>
      </w:r>
      <w:r w:rsidR="00BA5C69">
        <w:rPr>
          <w:rFonts w:ascii="Times New Roman" w:hAnsi="Times New Roman"/>
          <w:sz w:val="24"/>
          <w:szCs w:val="24"/>
        </w:rPr>
        <w:t>y</w:t>
      </w:r>
      <w:proofErr w:type="spellEnd"/>
      <w:r w:rsidRPr="0097363E">
        <w:rPr>
          <w:rFonts w:ascii="Times New Roman" w:hAnsi="Times New Roman"/>
          <w:sz w:val="24"/>
          <w:szCs w:val="24"/>
        </w:rPr>
        <w:t xml:space="preserve">, actúa como fedataria de la adhesión al siguiente texto normativo por parte de los integrantes de la Comisión en cantidad suficiente para darle validez, y por las razones que dará su miembro informante, aconseja su aprobación </w:t>
      </w:r>
      <w:r w:rsidR="00D62542">
        <w:rPr>
          <w:rFonts w:ascii="Times New Roman" w:hAnsi="Times New Roman"/>
          <w:sz w:val="24"/>
          <w:szCs w:val="24"/>
        </w:rPr>
        <w:t>en los términos remitidos</w:t>
      </w:r>
      <w:r>
        <w:rPr>
          <w:rFonts w:ascii="Times New Roman" w:hAnsi="Times New Roman"/>
          <w:sz w:val="24"/>
          <w:szCs w:val="24"/>
        </w:rPr>
        <w:t>.</w:t>
      </w:r>
    </w:p>
    <w:p w:rsidR="00915EDE" w:rsidRDefault="00915EDE" w:rsidP="00E461F8">
      <w:pPr>
        <w:tabs>
          <w:tab w:val="left" w:pos="9214"/>
          <w:tab w:val="left" w:pos="9356"/>
          <w:tab w:val="left" w:pos="9457"/>
          <w:tab w:val="left" w:pos="9498"/>
        </w:tabs>
        <w:ind w:left="284" w:right="-427" w:firstLine="2551"/>
        <w:jc w:val="both"/>
        <w:rPr>
          <w:rFonts w:ascii="Times New Roman" w:hAnsi="Times New Roman"/>
          <w:sz w:val="24"/>
          <w:szCs w:val="24"/>
        </w:rPr>
      </w:pPr>
    </w:p>
    <w:p w:rsidR="00915EDE" w:rsidRPr="00563481" w:rsidRDefault="00915EDE" w:rsidP="00E461F8">
      <w:pPr>
        <w:tabs>
          <w:tab w:val="left" w:pos="9457"/>
          <w:tab w:val="left" w:pos="9498"/>
        </w:tabs>
        <w:spacing w:line="360" w:lineRule="auto"/>
        <w:ind w:left="284" w:right="-427"/>
        <w:jc w:val="both"/>
        <w:rPr>
          <w:rFonts w:ascii="Times New Roman" w:hAnsi="Times New Roman" w:cs="Times New Roman"/>
          <w:sz w:val="24"/>
          <w:szCs w:val="24"/>
        </w:rPr>
      </w:pPr>
    </w:p>
    <w:p w:rsidR="00915EDE" w:rsidRPr="00C65B00" w:rsidRDefault="00915EDE" w:rsidP="00E461F8">
      <w:pPr>
        <w:tabs>
          <w:tab w:val="left" w:pos="9457"/>
          <w:tab w:val="left" w:pos="9498"/>
        </w:tabs>
        <w:spacing w:line="360" w:lineRule="auto"/>
        <w:ind w:left="284" w:right="-427"/>
        <w:jc w:val="center"/>
        <w:rPr>
          <w:rFonts w:ascii="Times New Roman" w:hAnsi="Times New Roman" w:cs="Times New Roman"/>
          <w:b/>
          <w:sz w:val="24"/>
          <w:szCs w:val="24"/>
        </w:rPr>
      </w:pPr>
      <w:r w:rsidRPr="00C65B00">
        <w:rPr>
          <w:rFonts w:ascii="Times New Roman" w:hAnsi="Times New Roman" w:cs="Times New Roman"/>
          <w:b/>
          <w:sz w:val="24"/>
          <w:szCs w:val="24"/>
          <w:lang w:val="es-ES_tradnl"/>
        </w:rPr>
        <w:t>LA LEGISLATURA DE LA PROVINCIA DE ENTRE RÍOS</w:t>
      </w:r>
    </w:p>
    <w:p w:rsidR="00915EDE" w:rsidRPr="00C65B00" w:rsidRDefault="00915EDE" w:rsidP="00E461F8">
      <w:pPr>
        <w:tabs>
          <w:tab w:val="left" w:pos="9457"/>
          <w:tab w:val="left" w:pos="9498"/>
        </w:tabs>
        <w:spacing w:line="360" w:lineRule="auto"/>
        <w:ind w:left="284" w:right="-427"/>
        <w:jc w:val="center"/>
        <w:rPr>
          <w:rFonts w:ascii="Times New Roman" w:hAnsi="Times New Roman" w:cs="Times New Roman"/>
          <w:b/>
          <w:sz w:val="24"/>
          <w:szCs w:val="24"/>
        </w:rPr>
      </w:pPr>
      <w:r w:rsidRPr="00C65B00">
        <w:rPr>
          <w:rFonts w:ascii="Times New Roman" w:hAnsi="Times New Roman" w:cs="Times New Roman"/>
          <w:b/>
          <w:sz w:val="24"/>
          <w:szCs w:val="24"/>
          <w:lang w:val="es-ES_tradnl"/>
        </w:rPr>
        <w:t>SANCIONA CON FUERZA DE</w:t>
      </w:r>
    </w:p>
    <w:p w:rsidR="00915EDE" w:rsidRDefault="00915EDE" w:rsidP="00E461F8">
      <w:pPr>
        <w:tabs>
          <w:tab w:val="left" w:pos="9457"/>
          <w:tab w:val="left" w:pos="9498"/>
        </w:tabs>
        <w:spacing w:line="360" w:lineRule="auto"/>
        <w:ind w:left="284" w:right="-427"/>
        <w:jc w:val="center"/>
        <w:rPr>
          <w:rFonts w:ascii="Times New Roman" w:hAnsi="Times New Roman" w:cs="Times New Roman"/>
          <w:b/>
          <w:sz w:val="24"/>
          <w:szCs w:val="24"/>
          <w:lang w:val="es-ES_tradnl"/>
        </w:rPr>
      </w:pPr>
      <w:r w:rsidRPr="00C65B00">
        <w:rPr>
          <w:rFonts w:ascii="Times New Roman" w:hAnsi="Times New Roman" w:cs="Times New Roman"/>
          <w:b/>
          <w:sz w:val="24"/>
          <w:szCs w:val="24"/>
          <w:lang w:val="es-ES_tradnl"/>
        </w:rPr>
        <w:t>L E Y:</w:t>
      </w:r>
    </w:p>
    <w:p w:rsidR="00915EDE" w:rsidRDefault="00915EDE" w:rsidP="00E461F8">
      <w:pPr>
        <w:tabs>
          <w:tab w:val="left" w:pos="9457"/>
          <w:tab w:val="left" w:pos="9498"/>
        </w:tabs>
        <w:spacing w:line="360" w:lineRule="auto"/>
        <w:ind w:left="284" w:right="-427"/>
        <w:rPr>
          <w:rFonts w:ascii="Times New Roman" w:hAnsi="Times New Roman" w:cs="Times New Roman"/>
          <w:b/>
          <w:sz w:val="24"/>
          <w:szCs w:val="24"/>
          <w:lang w:val="es-ES_tradnl"/>
        </w:rPr>
      </w:pP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CAPÍTULO I</w:t>
      </w: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CONTROL VEHICULAR DE PESO</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p>
    <w:p w:rsidR="00E461F8" w:rsidRPr="00E461F8" w:rsidRDefault="00064C3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Pr>
          <w:rFonts w:ascii="Times New Roman" w:eastAsiaTheme="minorHAnsi" w:hAnsi="Times New Roman" w:cs="Times New Roman"/>
          <w:b/>
          <w:sz w:val="24"/>
          <w:szCs w:val="24"/>
          <w:lang w:val="es-AR"/>
        </w:rPr>
        <w:t>ARTÍCULO 1º:</w:t>
      </w:r>
      <w:r w:rsidR="00E461F8" w:rsidRPr="00E461F8">
        <w:rPr>
          <w:rFonts w:ascii="Times New Roman" w:eastAsiaTheme="minorHAnsi" w:hAnsi="Times New Roman" w:cs="Times New Roman"/>
          <w:b/>
          <w:sz w:val="24"/>
          <w:szCs w:val="24"/>
          <w:lang w:val="es-AR"/>
        </w:rPr>
        <w:t xml:space="preserve"> Objeto</w:t>
      </w:r>
      <w:r w:rsidR="00E461F8" w:rsidRPr="00E461F8">
        <w:rPr>
          <w:rFonts w:ascii="Times New Roman" w:eastAsiaTheme="minorHAnsi" w:hAnsi="Times New Roman" w:cs="Times New Roman"/>
          <w:sz w:val="24"/>
          <w:szCs w:val="24"/>
          <w:lang w:val="es-AR"/>
        </w:rPr>
        <w:t xml:space="preserve">. La presente ley tiene por objeto preservar en buen estado las rutas y los caminos de la provincia, estableciendo el control de peso permanente de las cargas transportadas en ellos.- </w:t>
      </w:r>
    </w:p>
    <w:p w:rsidR="00E461F8" w:rsidRPr="00E461F8" w:rsidRDefault="00064C3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Pr>
          <w:rFonts w:ascii="Times New Roman" w:eastAsiaTheme="minorHAnsi" w:hAnsi="Times New Roman" w:cs="Times New Roman"/>
          <w:b/>
          <w:sz w:val="24"/>
          <w:szCs w:val="24"/>
          <w:lang w:val="es-AR"/>
        </w:rPr>
        <w:t>ARTÍCULO 2º:</w:t>
      </w:r>
      <w:r w:rsidR="00E461F8" w:rsidRPr="00E461F8">
        <w:rPr>
          <w:rFonts w:ascii="Times New Roman" w:eastAsiaTheme="minorHAnsi" w:hAnsi="Times New Roman" w:cs="Times New Roman"/>
          <w:b/>
          <w:sz w:val="24"/>
          <w:szCs w:val="24"/>
          <w:lang w:val="es-AR"/>
        </w:rPr>
        <w:t xml:space="preserve"> Obligatoriedad</w:t>
      </w:r>
      <w:r w:rsidR="00E461F8" w:rsidRPr="00E461F8">
        <w:rPr>
          <w:rFonts w:ascii="Times New Roman" w:eastAsiaTheme="minorHAnsi" w:hAnsi="Times New Roman" w:cs="Times New Roman"/>
          <w:sz w:val="24"/>
          <w:szCs w:val="24"/>
          <w:lang w:val="es-AR"/>
        </w:rPr>
        <w:t xml:space="preserve">. Mediante la presente ley se dispone con carácter obligatorio la instalación progresiva de sistemas integrales de control de peso permanente de las cargas transportadas en todas las rutas y caminos provinciales.- </w:t>
      </w:r>
    </w:p>
    <w:p w:rsidR="00E461F8" w:rsidRPr="00E461F8" w:rsidRDefault="00064C3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Pr>
          <w:rFonts w:ascii="Times New Roman" w:eastAsiaTheme="minorHAnsi" w:hAnsi="Times New Roman" w:cs="Times New Roman"/>
          <w:b/>
          <w:sz w:val="24"/>
          <w:szCs w:val="24"/>
          <w:lang w:val="es-AR"/>
        </w:rPr>
        <w:t>ARTÍCULO 3º:</w:t>
      </w:r>
      <w:r w:rsidR="00E461F8" w:rsidRPr="00E461F8">
        <w:rPr>
          <w:rFonts w:ascii="Times New Roman" w:eastAsiaTheme="minorHAnsi" w:hAnsi="Times New Roman" w:cs="Times New Roman"/>
          <w:b/>
          <w:sz w:val="24"/>
          <w:szCs w:val="24"/>
          <w:lang w:val="es-AR"/>
        </w:rPr>
        <w:t xml:space="preserve"> Sistemas integrales de control de peso</w:t>
      </w:r>
      <w:r w:rsidR="00E461F8" w:rsidRPr="00E461F8">
        <w:rPr>
          <w:rFonts w:ascii="Times New Roman" w:eastAsiaTheme="minorHAnsi" w:hAnsi="Times New Roman" w:cs="Times New Roman"/>
          <w:sz w:val="24"/>
          <w:szCs w:val="24"/>
          <w:lang w:val="es-AR"/>
        </w:rPr>
        <w:t xml:space="preserve">. Los sistemas integrales de control de peso, deben incluir plataformas de pesaje dinámicas y estáticas que permitan la verificación contrastable de aquél.- </w:t>
      </w:r>
    </w:p>
    <w:p w:rsidR="00E461F8" w:rsidRPr="00E461F8" w:rsidRDefault="00064C3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Pr>
          <w:rFonts w:ascii="Times New Roman" w:eastAsiaTheme="minorHAnsi" w:hAnsi="Times New Roman" w:cs="Times New Roman"/>
          <w:b/>
          <w:sz w:val="24"/>
          <w:szCs w:val="24"/>
          <w:lang w:val="es-AR"/>
        </w:rPr>
        <w:t>ARTÍCULO 4 º:</w:t>
      </w:r>
      <w:r w:rsidR="00E461F8" w:rsidRPr="00E461F8">
        <w:rPr>
          <w:rFonts w:ascii="Times New Roman" w:eastAsiaTheme="minorHAnsi" w:hAnsi="Times New Roman" w:cs="Times New Roman"/>
          <w:b/>
          <w:sz w:val="24"/>
          <w:szCs w:val="24"/>
          <w:lang w:val="es-AR"/>
        </w:rPr>
        <w:t xml:space="preserve"> Definición.</w:t>
      </w:r>
      <w:r w:rsidR="00E461F8" w:rsidRPr="00E461F8">
        <w:rPr>
          <w:rFonts w:ascii="Times New Roman" w:eastAsiaTheme="minorHAnsi" w:hAnsi="Times New Roman" w:cs="Times New Roman"/>
          <w:sz w:val="24"/>
          <w:szCs w:val="24"/>
          <w:lang w:val="es-AR"/>
        </w:rPr>
        <w:t xml:space="preserve"> A los efectos de la presente ley se entiende por “plataformas de pesaje dinámicas y estáticas” a un sistema completo de pesaje formado por una balanza de peso total y por otra de peso por eje o conjunto de ejes.-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lastRenderedPageBreak/>
        <w:t>ARTÍCULO 5º.- Autoridad de aplicación.</w:t>
      </w:r>
      <w:r w:rsidRPr="00E461F8">
        <w:rPr>
          <w:rFonts w:ascii="Times New Roman" w:eastAsiaTheme="minorHAnsi" w:hAnsi="Times New Roman" w:cs="Times New Roman"/>
          <w:sz w:val="24"/>
          <w:szCs w:val="24"/>
          <w:lang w:val="es-AR"/>
        </w:rPr>
        <w:t xml:space="preserve"> La Dirección Provincial de Vialidad es la autoridad de aplicación de la presente ley, la cual debe coordinar el ejercicio de sus funciones con la Dirección de Prevención y Seguridad Vial de la Policía de la provincia de Entre Ríos. El Poder Ejecutivo, mediante la reglamentación de la presente ley, debe establecer los respectivos ámbitos de competencia de dichos organismos, los cuales, de corresponder, se deben desempeñar como revisores de carga en los términos del art. 58 de la ley nacional 24.449, y en ese carácter, además de las tareas de fiscalización y control, deben verificar periódicamente los instrumentos de pesaje y procurar la capacitación del personal afectado a tales fines.-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6 º.- Localización de los puestos de control.</w:t>
      </w:r>
      <w:r w:rsidRPr="00E461F8">
        <w:rPr>
          <w:rFonts w:ascii="Times New Roman" w:eastAsiaTheme="minorHAnsi" w:hAnsi="Times New Roman" w:cs="Times New Roman"/>
          <w:sz w:val="24"/>
          <w:szCs w:val="24"/>
          <w:lang w:val="es-AR"/>
        </w:rPr>
        <w:t xml:space="preserve"> La autoridad de aplicación debe determinar la localización de los puestos de control de peso.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CAPÍTULO II</w:t>
      </w: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EXCESO DE PESO</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7º.- Extralimitación de peso permitido</w:t>
      </w:r>
      <w:r w:rsidRPr="00E461F8">
        <w:rPr>
          <w:rFonts w:ascii="Times New Roman" w:eastAsiaTheme="minorHAnsi" w:hAnsi="Times New Roman" w:cs="Times New Roman"/>
          <w:sz w:val="24"/>
          <w:szCs w:val="24"/>
          <w:lang w:val="es-AR"/>
        </w:rPr>
        <w:t>. El peso permitido en los vehículos de transporte de cargas se debe sujetar a lo dispuesto por la ley nacional N° 24.449</w:t>
      </w:r>
      <w:r w:rsidR="00064C38">
        <w:rPr>
          <w:rFonts w:ascii="Times New Roman" w:eastAsiaTheme="minorHAnsi" w:hAnsi="Times New Roman" w:cs="Times New Roman"/>
          <w:sz w:val="24"/>
          <w:szCs w:val="24"/>
          <w:lang w:val="es-AR"/>
        </w:rPr>
        <w:t xml:space="preserve">, </w:t>
      </w:r>
      <w:r w:rsidRPr="00E461F8">
        <w:rPr>
          <w:rFonts w:ascii="Times New Roman" w:eastAsiaTheme="minorHAnsi" w:hAnsi="Times New Roman" w:cs="Times New Roman"/>
          <w:sz w:val="24"/>
          <w:szCs w:val="24"/>
          <w:lang w:val="es-AR"/>
        </w:rPr>
        <w:t>su correspondiente reglamentación y la legislación modificatoria o la que en futuro la reemplace. Acreditada la existencia de una extralimitación de peso permitido en un vehículo de trasporte de cargas, este debe ser detenido hasta tanto se regule la carga o se descargue el exceso. A tal fin, se faculta a la autoridad de aplicación a celebrar convenios de cooperación con municipios, comunas y fuerzas de seguridad.-</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8º.- Responsabilidad.</w:t>
      </w:r>
      <w:r w:rsidRPr="00E461F8">
        <w:rPr>
          <w:rFonts w:ascii="Times New Roman" w:eastAsiaTheme="minorHAnsi" w:hAnsi="Times New Roman" w:cs="Times New Roman"/>
          <w:sz w:val="24"/>
          <w:szCs w:val="24"/>
          <w:lang w:val="es-AR"/>
        </w:rPr>
        <w:t xml:space="preserve"> La responsabilidad derivada del exceso de peso en los vehículos de transporte de cargas es solidaria entre el cargador y el transportista. El transportista que omita entregar a la autoridad de aplicación todas las constancias que disponga en relación al vehículo y a la carga transportada incurre en las mismas responsabilidades que las derivadas por el transporte con exceso de peso.-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9 º.- Plazo de retiro de excedentes de carga.</w:t>
      </w:r>
      <w:r w:rsidRPr="00E461F8">
        <w:rPr>
          <w:rFonts w:ascii="Times New Roman" w:eastAsiaTheme="minorHAnsi" w:hAnsi="Times New Roman" w:cs="Times New Roman"/>
          <w:sz w:val="24"/>
          <w:szCs w:val="24"/>
          <w:lang w:val="es-AR"/>
        </w:rPr>
        <w:t xml:space="preserve"> En el supuesto en que se detecte un excedente de carga y dicho excedente sea descargado, la autoridad de aplicación debe establecer un plazo para su retiro de hasta 2 (días).-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10º.- Vencimiento del plazo de retiro.</w:t>
      </w:r>
      <w:r w:rsidRPr="00E461F8">
        <w:rPr>
          <w:rFonts w:ascii="Times New Roman" w:eastAsiaTheme="minorHAnsi" w:hAnsi="Times New Roman" w:cs="Times New Roman"/>
          <w:sz w:val="24"/>
          <w:szCs w:val="24"/>
          <w:lang w:val="es-AR"/>
        </w:rPr>
        <w:t xml:space="preserve"> Vencido el plazo fijado para el retiro de la carga sin que este se produzca, el agente responsable del puesto de control debe informar inmediatamente a la autoridad de fiscalización que resulte competente en virtud de la naturaleza de la carga y disponer el traslado de aquélla. A tal efecto, se autoriza a la autoridad de aplicación a requerir la colaboración de Municipios, Comunas y Fuerzas de Seguridad.-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11º.- Excepción</w:t>
      </w:r>
      <w:r w:rsidRPr="00E461F8">
        <w:rPr>
          <w:rFonts w:ascii="Times New Roman" w:eastAsiaTheme="minorHAnsi" w:hAnsi="Times New Roman" w:cs="Times New Roman"/>
          <w:sz w:val="24"/>
          <w:szCs w:val="24"/>
          <w:lang w:val="es-AR"/>
        </w:rPr>
        <w:t xml:space="preserve">. La autoridad de aplicación se encuentra facultada a permitir, excepcionalmente, cuando por la naturaleza o función asignada a las cargas imposibilite o torne inconveniente para el interés provincial su descarga y retención, la continuación de vehículos con </w:t>
      </w:r>
      <w:r w:rsidRPr="00E461F8">
        <w:rPr>
          <w:rFonts w:ascii="Times New Roman" w:eastAsiaTheme="minorHAnsi" w:hAnsi="Times New Roman" w:cs="Times New Roman"/>
          <w:sz w:val="24"/>
          <w:szCs w:val="24"/>
          <w:lang w:val="es-AR"/>
        </w:rPr>
        <w:lastRenderedPageBreak/>
        <w:t xml:space="preserve">exceso en el peso. El infractor debe abonar en este caso un adicional del canon por deterioro del camino, el cual debe ser establecido en la reglamentación de la presente ley.-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12º.- Abandono de vehículo</w:t>
      </w:r>
      <w:r w:rsidRPr="00E461F8">
        <w:rPr>
          <w:rFonts w:ascii="Times New Roman" w:eastAsiaTheme="minorHAnsi" w:hAnsi="Times New Roman" w:cs="Times New Roman"/>
          <w:sz w:val="24"/>
          <w:szCs w:val="24"/>
          <w:lang w:val="es-AR"/>
        </w:rPr>
        <w:t xml:space="preserve">. Ante el abandono del vehículo de transporte en infracción o del excedente de carga, la autoridad de aplicación debe retirarlo y realizar cuanta acción resulte menester para liberar carreteras, banquinas, balanzas y puestos de control. El dueño del vehículo o de la carga, de manera previa a su retiro, debe solventar los gastos que hayan insumido el traslado, mantenimiento y vigilancia de aquél.-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CAPÍTULO III</w:t>
      </w: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INFRACCIONES</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13º.- Sanciones</w:t>
      </w:r>
      <w:r w:rsidRPr="00E461F8">
        <w:rPr>
          <w:rFonts w:ascii="Times New Roman" w:eastAsiaTheme="minorHAnsi" w:hAnsi="Times New Roman" w:cs="Times New Roman"/>
          <w:sz w:val="24"/>
          <w:szCs w:val="24"/>
          <w:lang w:val="es-AR"/>
        </w:rPr>
        <w:t xml:space="preserve">. La infracción a las disposiciones de la presente ley es pasible de sanción de acuerdo con lo establecido por el cap. II, tít. VIII, de la ley nacional 24.449. El acta de constatación de la infracción, junto a su resolución aprobatoria, constituye título ejecutivo.-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14º.- Procedimiento</w:t>
      </w:r>
      <w:r w:rsidRPr="00E461F8">
        <w:rPr>
          <w:rFonts w:ascii="Times New Roman" w:eastAsiaTheme="minorHAnsi" w:hAnsi="Times New Roman" w:cs="Times New Roman"/>
          <w:sz w:val="24"/>
          <w:szCs w:val="24"/>
          <w:lang w:val="es-AR"/>
        </w:rPr>
        <w:t xml:space="preserve">. El procedimiento de cobro de las infracciones debe ser determinado por la autoridad de aplicación, la cual está facultada para la persecución extrajudicial y judicial del cobro de las multas impuestas.-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15º.- Destino de lo recaudado</w:t>
      </w:r>
      <w:r w:rsidRPr="00E461F8">
        <w:rPr>
          <w:rFonts w:ascii="Times New Roman" w:eastAsiaTheme="minorHAnsi" w:hAnsi="Times New Roman" w:cs="Times New Roman"/>
          <w:sz w:val="24"/>
          <w:szCs w:val="24"/>
          <w:lang w:val="es-AR"/>
        </w:rPr>
        <w:t xml:space="preserve">. Los fondos resultantes de la percepción de las multas impuestas por aplicación de la presente ley y su reglamentación deben ser distribuidos en un 60% (sesenta por ciento) para la Dirección de Vialidad provincial y en el 40% (cuarenta por ciento) restante para la Dirección de Prevención y Seguridad Vial de la Policía de la provincia de Entre Ríos.-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CAPITULO IV</w:t>
      </w:r>
    </w:p>
    <w:p w:rsidR="00E461F8" w:rsidRPr="00E461F8" w:rsidRDefault="00E461F8" w:rsidP="00E461F8">
      <w:pPr>
        <w:widowControl/>
        <w:autoSpaceDE/>
        <w:autoSpaceDN/>
        <w:spacing w:after="160" w:line="259" w:lineRule="auto"/>
        <w:ind w:left="284" w:right="-427"/>
        <w:jc w:val="center"/>
        <w:rPr>
          <w:rFonts w:ascii="Times New Roman" w:eastAsiaTheme="minorHAnsi" w:hAnsi="Times New Roman" w:cs="Times New Roman"/>
          <w:b/>
          <w:sz w:val="24"/>
          <w:szCs w:val="24"/>
          <w:lang w:val="es-AR"/>
        </w:rPr>
      </w:pPr>
      <w:r w:rsidRPr="00E461F8">
        <w:rPr>
          <w:rFonts w:ascii="Times New Roman" w:eastAsiaTheme="minorHAnsi" w:hAnsi="Times New Roman" w:cs="Times New Roman"/>
          <w:b/>
          <w:sz w:val="24"/>
          <w:szCs w:val="24"/>
          <w:lang w:val="es-AR"/>
        </w:rPr>
        <w:t>DISPOSICIONES FINALES</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16º.- Aplicación supletoria</w:t>
      </w:r>
      <w:r w:rsidRPr="00E461F8">
        <w:rPr>
          <w:rFonts w:ascii="Times New Roman" w:eastAsiaTheme="minorHAnsi" w:hAnsi="Times New Roman" w:cs="Times New Roman"/>
          <w:sz w:val="24"/>
          <w:szCs w:val="24"/>
          <w:lang w:val="es-AR"/>
        </w:rPr>
        <w:t xml:space="preserve">. Es de aplicación supletoria a la presente ley en lo referido al transporte de cargas lo establecido por el cap. III, tít. VI de la ley nacional N° 24.449, la ley provincial N° 10.025, sus correspondientes reglamentaciones y la legislación modificatoria o la que en futuro la reemplace.-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17º.- Presupuesto</w:t>
      </w:r>
      <w:r w:rsidRPr="00E461F8">
        <w:rPr>
          <w:rFonts w:ascii="Times New Roman" w:eastAsiaTheme="minorHAnsi" w:hAnsi="Times New Roman" w:cs="Times New Roman"/>
          <w:sz w:val="24"/>
          <w:szCs w:val="24"/>
          <w:lang w:val="es-AR"/>
        </w:rPr>
        <w:t xml:space="preserve">. A efectos del cumplimiento de la presente ley, la autoridad de aplicación debe incluir en los proyectos de obra y en las correspondientes licitaciones, la cantidad proporcional de balanzas dinámicas y estáticas destinadas al control permanente, idóneo y obligatorio del peso de los vehículos de transporte de carga.- </w:t>
      </w: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18º.- Reglamentación</w:t>
      </w:r>
      <w:r w:rsidRPr="00E461F8">
        <w:rPr>
          <w:rFonts w:ascii="Times New Roman" w:eastAsiaTheme="minorHAnsi" w:hAnsi="Times New Roman" w:cs="Times New Roman"/>
          <w:sz w:val="24"/>
          <w:szCs w:val="24"/>
          <w:lang w:val="es-AR"/>
        </w:rPr>
        <w:t xml:space="preserve">. El Poder Ejecutivo debe reglamentar la presente ley dentro del plazo de noventa (90) días a partir de su promulgación, en la que se debe incluir, al menos, la </w:t>
      </w:r>
      <w:r w:rsidRPr="00E461F8">
        <w:rPr>
          <w:rFonts w:ascii="Times New Roman" w:eastAsiaTheme="minorHAnsi" w:hAnsi="Times New Roman" w:cs="Times New Roman"/>
          <w:sz w:val="24"/>
          <w:szCs w:val="24"/>
          <w:lang w:val="es-AR"/>
        </w:rPr>
        <w:lastRenderedPageBreak/>
        <w:t xml:space="preserve">metodología y procedimientos de control, las consecuencias de la reincidencia de infractores y la capacitación del personal afectado al control.- </w:t>
      </w:r>
    </w:p>
    <w:p w:rsidR="00E461F8" w:rsidRDefault="00E461F8" w:rsidP="00E461F8">
      <w:pPr>
        <w:widowControl/>
        <w:autoSpaceDE/>
        <w:autoSpaceDN/>
        <w:spacing w:after="160" w:line="259" w:lineRule="auto"/>
        <w:ind w:left="284" w:right="-427"/>
        <w:jc w:val="both"/>
        <w:rPr>
          <w:rFonts w:ascii="Times New Roman" w:eastAsiaTheme="minorHAnsi" w:hAnsi="Times New Roman" w:cs="Times New Roman"/>
          <w:b/>
          <w:sz w:val="24"/>
          <w:szCs w:val="24"/>
          <w:lang w:val="es-AR"/>
        </w:rPr>
      </w:pPr>
    </w:p>
    <w:p w:rsidR="00E461F8" w:rsidRPr="00E461F8" w:rsidRDefault="00E461F8" w:rsidP="00E461F8">
      <w:pPr>
        <w:widowControl/>
        <w:autoSpaceDE/>
        <w:autoSpaceDN/>
        <w:spacing w:after="160" w:line="259" w:lineRule="auto"/>
        <w:ind w:left="284" w:right="-427"/>
        <w:jc w:val="both"/>
        <w:rPr>
          <w:rFonts w:ascii="Times New Roman" w:eastAsiaTheme="minorHAnsi" w:hAnsi="Times New Roman" w:cs="Times New Roman"/>
          <w:sz w:val="24"/>
          <w:szCs w:val="24"/>
          <w:lang w:val="es-AR"/>
        </w:rPr>
      </w:pPr>
      <w:r w:rsidRPr="00E461F8">
        <w:rPr>
          <w:rFonts w:ascii="Times New Roman" w:eastAsiaTheme="minorHAnsi" w:hAnsi="Times New Roman" w:cs="Times New Roman"/>
          <w:b/>
          <w:sz w:val="24"/>
          <w:szCs w:val="24"/>
          <w:lang w:val="es-AR"/>
        </w:rPr>
        <w:t>ARTÍCULO 19º</w:t>
      </w:r>
      <w:r w:rsidRPr="00E461F8">
        <w:rPr>
          <w:rFonts w:ascii="Times New Roman" w:eastAsiaTheme="minorHAnsi" w:hAnsi="Times New Roman" w:cs="Times New Roman"/>
          <w:sz w:val="24"/>
          <w:szCs w:val="24"/>
          <w:lang w:val="es-AR"/>
        </w:rPr>
        <w:t>.- Comuníquese, etc.-</w:t>
      </w:r>
    </w:p>
    <w:p w:rsidR="00657324" w:rsidRDefault="00657324" w:rsidP="00E461F8">
      <w:pPr>
        <w:tabs>
          <w:tab w:val="left" w:pos="9457"/>
          <w:tab w:val="left" w:pos="9498"/>
        </w:tabs>
        <w:spacing w:line="360" w:lineRule="auto"/>
        <w:ind w:left="284" w:right="-427"/>
        <w:rPr>
          <w:rFonts w:ascii="Times New Roman" w:hAnsi="Times New Roman" w:cs="Times New Roman"/>
          <w:b/>
          <w:sz w:val="24"/>
          <w:szCs w:val="24"/>
          <w:lang w:val="es-ES_tradnl"/>
        </w:rPr>
      </w:pPr>
    </w:p>
    <w:p w:rsidR="00657324" w:rsidRDefault="00657324" w:rsidP="00E461F8">
      <w:pPr>
        <w:tabs>
          <w:tab w:val="left" w:pos="9457"/>
          <w:tab w:val="left" w:pos="9498"/>
        </w:tabs>
        <w:spacing w:line="360" w:lineRule="auto"/>
        <w:ind w:left="284" w:right="-427"/>
        <w:rPr>
          <w:rFonts w:ascii="Times New Roman" w:hAnsi="Times New Roman" w:cs="Times New Roman"/>
          <w:b/>
          <w:sz w:val="24"/>
          <w:szCs w:val="24"/>
          <w:lang w:val="es-ES_tradnl"/>
        </w:rPr>
      </w:pPr>
    </w:p>
    <w:p w:rsidR="00915EDE" w:rsidRPr="0097363E" w:rsidRDefault="00657324" w:rsidP="00E461F8">
      <w:pPr>
        <w:tabs>
          <w:tab w:val="left" w:pos="708"/>
          <w:tab w:val="center" w:pos="4419"/>
          <w:tab w:val="right" w:pos="8838"/>
          <w:tab w:val="left" w:pos="9214"/>
          <w:tab w:val="left" w:pos="9457"/>
          <w:tab w:val="left" w:pos="9498"/>
        </w:tabs>
        <w:ind w:left="284" w:right="-427"/>
        <w:contextualSpacing/>
        <w:jc w:val="center"/>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ab/>
      </w:r>
      <w:r w:rsidR="00553794">
        <w:rPr>
          <w:rFonts w:ascii="Times New Roman" w:eastAsia="Times New Roman" w:hAnsi="Times New Roman"/>
          <w:bCs/>
          <w:sz w:val="24"/>
          <w:szCs w:val="24"/>
          <w:lang w:eastAsia="es-ES"/>
        </w:rPr>
        <w:tab/>
      </w:r>
      <w:r w:rsidR="00915EDE">
        <w:rPr>
          <w:rFonts w:ascii="Times New Roman" w:eastAsia="Times New Roman" w:hAnsi="Times New Roman"/>
          <w:bCs/>
          <w:sz w:val="24"/>
          <w:szCs w:val="24"/>
          <w:lang w:eastAsia="es-ES"/>
        </w:rPr>
        <w:t>PARANA, Sala de Comisiones, 16 de mayo del año 202</w:t>
      </w:r>
      <w:r w:rsidR="00F44D72">
        <w:rPr>
          <w:rFonts w:ascii="Times New Roman" w:eastAsia="Times New Roman" w:hAnsi="Times New Roman"/>
          <w:bCs/>
          <w:sz w:val="24"/>
          <w:szCs w:val="24"/>
          <w:lang w:eastAsia="es-ES"/>
        </w:rPr>
        <w:t>2</w:t>
      </w:r>
      <w:r w:rsidR="00915EDE" w:rsidRPr="0097363E">
        <w:rPr>
          <w:rFonts w:ascii="Times New Roman" w:eastAsia="Times New Roman" w:hAnsi="Times New Roman"/>
          <w:bCs/>
          <w:sz w:val="24"/>
          <w:szCs w:val="24"/>
          <w:lang w:eastAsia="es-ES"/>
        </w:rPr>
        <w:t>.-</w:t>
      </w:r>
    </w:p>
    <w:p w:rsidR="00915EDE" w:rsidRPr="0097363E" w:rsidRDefault="00915EDE" w:rsidP="00E461F8">
      <w:pPr>
        <w:tabs>
          <w:tab w:val="left" w:pos="9457"/>
          <w:tab w:val="left" w:pos="9498"/>
        </w:tabs>
        <w:ind w:left="284" w:right="-427"/>
        <w:jc w:val="both"/>
        <w:rPr>
          <w:rFonts w:ascii="Times New Roman" w:hAnsi="Times New Roman"/>
          <w:sz w:val="24"/>
          <w:szCs w:val="24"/>
        </w:rPr>
      </w:pPr>
    </w:p>
    <w:p w:rsidR="00915EDE" w:rsidRPr="0097363E" w:rsidRDefault="00915EDE" w:rsidP="00E461F8">
      <w:pPr>
        <w:tabs>
          <w:tab w:val="left" w:pos="9457"/>
          <w:tab w:val="left" w:pos="9498"/>
        </w:tabs>
        <w:ind w:left="284" w:right="-427"/>
        <w:jc w:val="both"/>
        <w:rPr>
          <w:rFonts w:ascii="Times New Roman" w:hAnsi="Times New Roman"/>
          <w:sz w:val="24"/>
          <w:szCs w:val="24"/>
        </w:rPr>
      </w:pPr>
    </w:p>
    <w:p w:rsidR="00915EDE" w:rsidRPr="0097363E" w:rsidRDefault="00915EDE" w:rsidP="00E461F8">
      <w:pPr>
        <w:tabs>
          <w:tab w:val="left" w:pos="708"/>
          <w:tab w:val="center" w:pos="4419"/>
          <w:tab w:val="right" w:pos="8838"/>
          <w:tab w:val="left" w:pos="9457"/>
          <w:tab w:val="left" w:pos="9498"/>
        </w:tabs>
        <w:ind w:left="284" w:right="-427"/>
        <w:contextualSpacing/>
        <w:jc w:val="both"/>
        <w:rPr>
          <w:rFonts w:ascii="Times New Roman" w:eastAsia="Times New Roman" w:hAnsi="Times New Roman"/>
          <w:sz w:val="24"/>
          <w:szCs w:val="24"/>
          <w:lang w:eastAsia="es-ES"/>
        </w:rPr>
      </w:pPr>
      <w:r w:rsidRPr="0097363E">
        <w:rPr>
          <w:rFonts w:ascii="Times New Roman" w:eastAsia="Times New Roman" w:hAnsi="Times New Roman"/>
          <w:sz w:val="24"/>
          <w:szCs w:val="24"/>
          <w:lang w:eastAsia="es-ES"/>
        </w:rPr>
        <w:t>GIECO, Claudia</w:t>
      </w:r>
      <w:r w:rsidRPr="0097363E">
        <w:rPr>
          <w:rFonts w:ascii="Times New Roman" w:eastAsia="Times New Roman" w:hAnsi="Times New Roman"/>
          <w:sz w:val="24"/>
          <w:szCs w:val="24"/>
          <w:lang w:eastAsia="es-ES"/>
        </w:rPr>
        <w:tab/>
      </w:r>
      <w:r w:rsidRPr="0097363E">
        <w:rPr>
          <w:rFonts w:ascii="Times New Roman" w:eastAsia="Times New Roman" w:hAnsi="Times New Roman"/>
          <w:sz w:val="24"/>
          <w:szCs w:val="24"/>
          <w:lang w:eastAsia="es-ES"/>
        </w:rPr>
        <w:tab/>
        <w:t>OLANO, Daniel</w:t>
      </w:r>
    </w:p>
    <w:p w:rsidR="00915EDE" w:rsidRPr="0097363E" w:rsidRDefault="00915EDE" w:rsidP="00E461F8">
      <w:pPr>
        <w:tabs>
          <w:tab w:val="left" w:pos="708"/>
          <w:tab w:val="center" w:pos="4419"/>
          <w:tab w:val="right" w:pos="8838"/>
          <w:tab w:val="left" w:pos="9457"/>
          <w:tab w:val="left" w:pos="9498"/>
        </w:tabs>
        <w:ind w:left="284" w:right="-427"/>
        <w:contextualSpacing/>
        <w:jc w:val="both"/>
        <w:rPr>
          <w:rFonts w:ascii="Times New Roman" w:eastAsia="Times New Roman" w:hAnsi="Times New Roman"/>
          <w:sz w:val="24"/>
          <w:szCs w:val="24"/>
          <w:lang w:eastAsia="es-ES"/>
        </w:rPr>
      </w:pPr>
      <w:proofErr w:type="spellStart"/>
      <w:r w:rsidRPr="0097363E">
        <w:rPr>
          <w:rFonts w:ascii="Times New Roman" w:eastAsia="Times New Roman" w:hAnsi="Times New Roman"/>
          <w:sz w:val="24"/>
          <w:szCs w:val="24"/>
          <w:lang w:eastAsia="es-ES"/>
        </w:rPr>
        <w:t>GENRE</w:t>
      </w:r>
      <w:proofErr w:type="spellEnd"/>
      <w:r w:rsidRPr="0097363E">
        <w:rPr>
          <w:rFonts w:ascii="Times New Roman" w:eastAsia="Times New Roman" w:hAnsi="Times New Roman"/>
          <w:sz w:val="24"/>
          <w:szCs w:val="24"/>
          <w:lang w:eastAsia="es-ES"/>
        </w:rPr>
        <w:t xml:space="preserve"> </w:t>
      </w:r>
      <w:proofErr w:type="spellStart"/>
      <w:r w:rsidRPr="0097363E">
        <w:rPr>
          <w:rFonts w:ascii="Times New Roman" w:eastAsia="Times New Roman" w:hAnsi="Times New Roman"/>
          <w:sz w:val="24"/>
          <w:szCs w:val="24"/>
          <w:lang w:eastAsia="es-ES"/>
        </w:rPr>
        <w:t>BERT</w:t>
      </w:r>
      <w:proofErr w:type="spellEnd"/>
      <w:r w:rsidRPr="0097363E">
        <w:rPr>
          <w:rFonts w:ascii="Times New Roman" w:eastAsia="Times New Roman" w:hAnsi="Times New Roman"/>
          <w:sz w:val="24"/>
          <w:szCs w:val="24"/>
          <w:lang w:eastAsia="es-ES"/>
        </w:rPr>
        <w:t xml:space="preserve">, </w:t>
      </w:r>
      <w:proofErr w:type="spellStart"/>
      <w:r w:rsidRPr="0097363E">
        <w:rPr>
          <w:rFonts w:ascii="Times New Roman" w:eastAsia="Times New Roman" w:hAnsi="Times New Roman"/>
          <w:sz w:val="24"/>
          <w:szCs w:val="24"/>
          <w:lang w:eastAsia="es-ES"/>
        </w:rPr>
        <w:t>Amilcar</w:t>
      </w:r>
      <w:proofErr w:type="spellEnd"/>
      <w:r w:rsidRPr="0097363E">
        <w:rPr>
          <w:rFonts w:ascii="Times New Roman" w:eastAsia="Times New Roman" w:hAnsi="Times New Roman"/>
          <w:sz w:val="24"/>
          <w:szCs w:val="24"/>
          <w:lang w:eastAsia="es-ES"/>
        </w:rPr>
        <w:t xml:space="preserve"> </w:t>
      </w:r>
      <w:r w:rsidRPr="0097363E">
        <w:rPr>
          <w:rFonts w:ascii="Times New Roman" w:eastAsia="Times New Roman" w:hAnsi="Times New Roman"/>
          <w:sz w:val="24"/>
          <w:szCs w:val="24"/>
          <w:lang w:eastAsia="es-ES"/>
        </w:rPr>
        <w:tab/>
      </w:r>
      <w:r w:rsidRPr="0097363E">
        <w:rPr>
          <w:rFonts w:ascii="Times New Roman" w:eastAsia="Times New Roman" w:hAnsi="Times New Roman"/>
          <w:sz w:val="24"/>
          <w:szCs w:val="24"/>
          <w:lang w:eastAsia="es-ES"/>
        </w:rPr>
        <w:tab/>
      </w:r>
      <w:proofErr w:type="spellStart"/>
      <w:r w:rsidRPr="0097363E">
        <w:rPr>
          <w:rFonts w:ascii="Times New Roman" w:eastAsia="Times New Roman" w:hAnsi="Times New Roman"/>
          <w:sz w:val="24"/>
          <w:szCs w:val="24"/>
          <w:lang w:eastAsia="es-ES"/>
        </w:rPr>
        <w:t>MARADEY</w:t>
      </w:r>
      <w:proofErr w:type="spellEnd"/>
      <w:r w:rsidRPr="0097363E">
        <w:rPr>
          <w:rFonts w:ascii="Times New Roman" w:eastAsia="Times New Roman" w:hAnsi="Times New Roman"/>
          <w:sz w:val="24"/>
          <w:szCs w:val="24"/>
          <w:lang w:eastAsia="es-ES"/>
        </w:rPr>
        <w:t xml:space="preserve">, Jorge </w:t>
      </w:r>
    </w:p>
    <w:p w:rsidR="00915EDE" w:rsidRPr="0097363E" w:rsidRDefault="00915EDE" w:rsidP="00E461F8">
      <w:pPr>
        <w:tabs>
          <w:tab w:val="left" w:pos="708"/>
          <w:tab w:val="center" w:pos="4419"/>
          <w:tab w:val="right" w:pos="8838"/>
          <w:tab w:val="left" w:pos="9457"/>
          <w:tab w:val="left" w:pos="9498"/>
        </w:tabs>
        <w:ind w:left="284" w:right="-427"/>
        <w:contextualSpacing/>
        <w:jc w:val="both"/>
        <w:rPr>
          <w:rFonts w:ascii="Times New Roman" w:eastAsia="Times New Roman" w:hAnsi="Times New Roman"/>
          <w:sz w:val="24"/>
          <w:szCs w:val="24"/>
          <w:lang w:eastAsia="es-ES"/>
        </w:rPr>
      </w:pPr>
      <w:r w:rsidRPr="0097363E">
        <w:rPr>
          <w:rFonts w:ascii="Times New Roman" w:eastAsia="Times New Roman" w:hAnsi="Times New Roman"/>
          <w:sz w:val="24"/>
          <w:szCs w:val="24"/>
          <w:lang w:eastAsia="es-ES"/>
        </w:rPr>
        <w:t>FUERTES, Adrián</w:t>
      </w:r>
      <w:r w:rsidRPr="0097363E">
        <w:rPr>
          <w:rFonts w:ascii="Times New Roman" w:eastAsia="Times New Roman" w:hAnsi="Times New Roman"/>
          <w:sz w:val="24"/>
          <w:szCs w:val="24"/>
          <w:lang w:eastAsia="es-ES"/>
        </w:rPr>
        <w:tab/>
      </w:r>
      <w:r w:rsidRPr="0097363E">
        <w:rPr>
          <w:rFonts w:ascii="Times New Roman" w:eastAsia="Times New Roman" w:hAnsi="Times New Roman"/>
          <w:sz w:val="24"/>
          <w:szCs w:val="24"/>
          <w:lang w:eastAsia="es-ES"/>
        </w:rPr>
        <w:tab/>
        <w:t>AMAVET, Horacio</w:t>
      </w:r>
    </w:p>
    <w:p w:rsidR="00915EDE" w:rsidRPr="0097363E" w:rsidRDefault="00915EDE" w:rsidP="00E461F8">
      <w:pPr>
        <w:tabs>
          <w:tab w:val="left" w:pos="708"/>
          <w:tab w:val="center" w:pos="4419"/>
          <w:tab w:val="right" w:pos="8838"/>
          <w:tab w:val="left" w:pos="9457"/>
          <w:tab w:val="left" w:pos="9498"/>
        </w:tabs>
        <w:ind w:left="284" w:right="-427"/>
        <w:contextualSpacing/>
        <w:jc w:val="both"/>
        <w:rPr>
          <w:rFonts w:ascii="Times New Roman" w:eastAsia="Times New Roman" w:hAnsi="Times New Roman"/>
          <w:sz w:val="24"/>
          <w:szCs w:val="24"/>
          <w:lang w:eastAsia="es-ES"/>
        </w:rPr>
      </w:pPr>
      <w:r w:rsidRPr="0097363E">
        <w:rPr>
          <w:rFonts w:ascii="Times New Roman" w:eastAsia="Times New Roman" w:hAnsi="Times New Roman"/>
          <w:sz w:val="24"/>
          <w:szCs w:val="24"/>
          <w:lang w:eastAsia="es-ES"/>
        </w:rPr>
        <w:t>DAL MOLIN, Rubén</w:t>
      </w:r>
    </w:p>
    <w:p w:rsidR="00915EDE" w:rsidRPr="0097363E" w:rsidRDefault="00915EDE" w:rsidP="00E461F8">
      <w:pPr>
        <w:tabs>
          <w:tab w:val="left" w:pos="708"/>
          <w:tab w:val="center" w:pos="4419"/>
          <w:tab w:val="right" w:pos="8838"/>
          <w:tab w:val="left" w:pos="9457"/>
          <w:tab w:val="left" w:pos="9498"/>
        </w:tabs>
        <w:ind w:left="284" w:right="-427"/>
        <w:contextualSpacing/>
        <w:jc w:val="both"/>
        <w:rPr>
          <w:rFonts w:ascii="Times New Roman" w:eastAsia="Times New Roman" w:hAnsi="Times New Roman"/>
          <w:sz w:val="24"/>
          <w:szCs w:val="24"/>
          <w:lang w:eastAsia="es-ES"/>
        </w:rPr>
      </w:pPr>
    </w:p>
    <w:p w:rsidR="00915EDE" w:rsidRPr="0097363E" w:rsidRDefault="00915EDE" w:rsidP="00E461F8">
      <w:pPr>
        <w:tabs>
          <w:tab w:val="left" w:pos="9214"/>
          <w:tab w:val="left" w:pos="9457"/>
          <w:tab w:val="left" w:pos="9498"/>
        </w:tabs>
        <w:ind w:left="284" w:right="-427"/>
        <w:jc w:val="both"/>
        <w:rPr>
          <w:rFonts w:ascii="Times New Roman" w:eastAsia="Times New Roman" w:hAnsi="Times New Roman"/>
          <w:sz w:val="24"/>
          <w:szCs w:val="24"/>
          <w:lang w:eastAsia="es-ES"/>
        </w:rPr>
      </w:pPr>
    </w:p>
    <w:p w:rsidR="00915EDE" w:rsidRPr="00563481" w:rsidRDefault="00915EDE" w:rsidP="00E461F8">
      <w:pPr>
        <w:tabs>
          <w:tab w:val="left" w:pos="9214"/>
          <w:tab w:val="left" w:pos="9457"/>
          <w:tab w:val="left" w:pos="9498"/>
        </w:tabs>
        <w:ind w:left="284" w:right="-427"/>
        <w:jc w:val="both"/>
        <w:rPr>
          <w:rFonts w:ascii="Times New Roman" w:hAnsi="Times New Roman" w:cs="Times New Roman"/>
          <w:sz w:val="24"/>
          <w:szCs w:val="24"/>
        </w:rPr>
      </w:pPr>
      <w:r w:rsidRPr="0097363E">
        <w:rPr>
          <w:rFonts w:ascii="Times New Roman" w:hAnsi="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97363E">
        <w:rPr>
          <w:rFonts w:ascii="Times New Roman" w:hAnsi="Times New Roman"/>
          <w:b/>
          <w:sz w:val="24"/>
          <w:szCs w:val="24"/>
        </w:rPr>
        <w:t xml:space="preserve">Comisión de </w:t>
      </w:r>
      <w:proofErr w:type="spellStart"/>
      <w:r w:rsidRPr="0097363E">
        <w:rPr>
          <w:rFonts w:ascii="Times New Roman" w:hAnsi="Times New Roman"/>
          <w:b/>
          <w:sz w:val="24"/>
          <w:szCs w:val="24"/>
        </w:rPr>
        <w:t>Hidrovía</w:t>
      </w:r>
      <w:proofErr w:type="spellEnd"/>
      <w:r w:rsidRPr="0097363E">
        <w:rPr>
          <w:rFonts w:ascii="Times New Roman" w:hAnsi="Times New Roman"/>
          <w:b/>
          <w:sz w:val="24"/>
          <w:szCs w:val="24"/>
        </w:rPr>
        <w:t>, Puertos y Transportes Multimodale</w:t>
      </w:r>
      <w:r w:rsidRPr="0097363E">
        <w:rPr>
          <w:rFonts w:ascii="Times New Roman" w:hAnsi="Times New Roman"/>
          <w:b/>
          <w:bCs/>
          <w:sz w:val="24"/>
          <w:szCs w:val="24"/>
        </w:rPr>
        <w:t>s</w:t>
      </w:r>
      <w:r w:rsidRPr="0097363E">
        <w:rPr>
          <w:rFonts w:ascii="Times New Roman" w:hAnsi="Times New Roman"/>
          <w:sz w:val="24"/>
          <w:szCs w:val="24"/>
        </w:rPr>
        <w:t xml:space="preserve">, </w:t>
      </w:r>
      <w:r w:rsidRPr="00FC4B27">
        <w:rPr>
          <w:rFonts w:ascii="Times New Roman" w:hAnsi="Times New Roman"/>
          <w:sz w:val="24"/>
          <w:szCs w:val="24"/>
        </w:rPr>
        <w:t xml:space="preserve">realizada </w:t>
      </w:r>
      <w:r>
        <w:rPr>
          <w:rFonts w:ascii="Times New Roman" w:hAnsi="Times New Roman"/>
          <w:sz w:val="24"/>
          <w:szCs w:val="24"/>
        </w:rPr>
        <w:t xml:space="preserve">el día 16 de mayo </w:t>
      </w:r>
      <w:r w:rsidRPr="00FC4B27">
        <w:rPr>
          <w:rFonts w:ascii="Times New Roman" w:hAnsi="Times New Roman"/>
          <w:sz w:val="24"/>
          <w:szCs w:val="24"/>
        </w:rPr>
        <w:t>de</w:t>
      </w:r>
      <w:r>
        <w:rPr>
          <w:rFonts w:ascii="Times New Roman" w:hAnsi="Times New Roman"/>
          <w:sz w:val="24"/>
          <w:szCs w:val="24"/>
        </w:rPr>
        <w:t>l año 202</w:t>
      </w:r>
      <w:r w:rsidR="00F44D72">
        <w:rPr>
          <w:rFonts w:ascii="Times New Roman" w:hAnsi="Times New Roman"/>
          <w:sz w:val="24"/>
          <w:szCs w:val="24"/>
        </w:rPr>
        <w:t>2</w:t>
      </w:r>
      <w:r w:rsidRPr="00FC4B27">
        <w:rPr>
          <w:rFonts w:ascii="Times New Roman" w:hAnsi="Times New Roman"/>
          <w:sz w:val="24"/>
          <w:szCs w:val="24"/>
        </w:rPr>
        <w:t>, contando</w:t>
      </w:r>
      <w:r w:rsidR="00657324">
        <w:rPr>
          <w:rFonts w:ascii="Times New Roman" w:hAnsi="Times New Roman"/>
          <w:sz w:val="24"/>
          <w:szCs w:val="24"/>
        </w:rPr>
        <w:t xml:space="preserve"> con el asentimiento </w:t>
      </w:r>
      <w:r w:rsidR="00657324" w:rsidRPr="0097363E">
        <w:rPr>
          <w:rFonts w:ascii="Times New Roman" w:hAnsi="Times New Roman"/>
          <w:sz w:val="24"/>
          <w:szCs w:val="24"/>
        </w:rPr>
        <w:t xml:space="preserve">de la </w:t>
      </w:r>
      <w:r w:rsidR="00657324">
        <w:rPr>
          <w:rFonts w:ascii="Times New Roman" w:hAnsi="Times New Roman"/>
          <w:sz w:val="24"/>
          <w:szCs w:val="24"/>
        </w:rPr>
        <w:t xml:space="preserve">Senadora Gieco  y de los Senadores </w:t>
      </w:r>
      <w:proofErr w:type="spellStart"/>
      <w:r w:rsidR="00657324">
        <w:rPr>
          <w:rFonts w:ascii="Times New Roman" w:hAnsi="Times New Roman"/>
          <w:sz w:val="24"/>
          <w:szCs w:val="24"/>
        </w:rPr>
        <w:t>Amavet</w:t>
      </w:r>
      <w:proofErr w:type="spellEnd"/>
      <w:r w:rsidR="00657324">
        <w:rPr>
          <w:rFonts w:ascii="Times New Roman" w:hAnsi="Times New Roman"/>
          <w:sz w:val="24"/>
          <w:szCs w:val="24"/>
        </w:rPr>
        <w:t xml:space="preserve">, Olano y </w:t>
      </w:r>
      <w:proofErr w:type="spellStart"/>
      <w:r w:rsidR="00657324">
        <w:rPr>
          <w:rFonts w:ascii="Times New Roman" w:hAnsi="Times New Roman"/>
          <w:sz w:val="24"/>
          <w:szCs w:val="24"/>
        </w:rPr>
        <w:t>Maradey</w:t>
      </w:r>
      <w:proofErr w:type="spellEnd"/>
      <w:r w:rsidR="00F44D72">
        <w:rPr>
          <w:rFonts w:ascii="Times New Roman" w:hAnsi="Times New Roman"/>
          <w:sz w:val="24"/>
          <w:szCs w:val="24"/>
        </w:rPr>
        <w:t>.</w:t>
      </w:r>
    </w:p>
    <w:p w:rsidR="00915EDE" w:rsidRPr="00C65B00" w:rsidRDefault="00915EDE" w:rsidP="00E461F8">
      <w:pPr>
        <w:tabs>
          <w:tab w:val="left" w:pos="9457"/>
          <w:tab w:val="left" w:pos="9498"/>
        </w:tabs>
        <w:spacing w:line="360" w:lineRule="auto"/>
        <w:ind w:left="284" w:right="-427"/>
        <w:rPr>
          <w:rFonts w:ascii="Times New Roman" w:hAnsi="Times New Roman" w:cs="Times New Roman"/>
          <w:b/>
          <w:sz w:val="24"/>
          <w:szCs w:val="24"/>
          <w:lang w:val="es-ES_tradnl"/>
        </w:rPr>
      </w:pPr>
    </w:p>
    <w:p w:rsidR="00472FC8" w:rsidRDefault="00472FC8" w:rsidP="00E461F8">
      <w:pPr>
        <w:ind w:left="284" w:right="-427"/>
      </w:pPr>
    </w:p>
    <w:sectPr w:rsidR="00472FC8" w:rsidSect="00E461F8">
      <w:pgSz w:w="11906" w:h="16838"/>
      <w:pgMar w:top="3119" w:right="107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DE"/>
    <w:rsid w:val="00064C38"/>
    <w:rsid w:val="00472FC8"/>
    <w:rsid w:val="00553794"/>
    <w:rsid w:val="00657324"/>
    <w:rsid w:val="006B5ADE"/>
    <w:rsid w:val="008F026B"/>
    <w:rsid w:val="00915EDE"/>
    <w:rsid w:val="00BA5C69"/>
    <w:rsid w:val="00C43B50"/>
    <w:rsid w:val="00CA7845"/>
    <w:rsid w:val="00D62542"/>
    <w:rsid w:val="00E461F8"/>
    <w:rsid w:val="00EB3788"/>
    <w:rsid w:val="00F44D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B416-D849-4E33-BE96-4F07B667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5EDE"/>
    <w:pPr>
      <w:widowControl w:val="0"/>
      <w:autoSpaceDE w:val="0"/>
      <w:autoSpaceDN w:val="0"/>
      <w:spacing w:after="0" w:line="240" w:lineRule="auto"/>
    </w:pPr>
    <w:rPr>
      <w:rFonts w:ascii="TeX Gyre Bonum" w:eastAsia="TeX Gyre Bonum" w:hAnsi="TeX Gyre Bonum" w:cs="TeX Gyre Bonum"/>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4C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C38"/>
    <w:rPr>
      <w:rFonts w:ascii="Segoe UI" w:eastAsia="TeX Gyre Bonum"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A24F-A047-4231-A368-C30D75F6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2022-05-16T14:49:00Z</cp:lastPrinted>
  <dcterms:created xsi:type="dcterms:W3CDTF">2023-06-27T15:44:00Z</dcterms:created>
  <dcterms:modified xsi:type="dcterms:W3CDTF">2023-06-27T15:44:00Z</dcterms:modified>
</cp:coreProperties>
</file>