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5D" w:rsidRPr="0020105D" w:rsidRDefault="0020105D" w:rsidP="0020105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0105D">
        <w:rPr>
          <w:rFonts w:ascii="Times New Roman" w:hAnsi="Times New Roman" w:cs="Times New Roman"/>
          <w:b/>
          <w:bCs/>
          <w:sz w:val="24"/>
          <w:szCs w:val="24"/>
          <w:lang w:val="es-ES"/>
        </w:rPr>
        <w:t>HONORABLE CÁMARA:</w:t>
      </w:r>
    </w:p>
    <w:p w:rsidR="00A57CD8" w:rsidRPr="00A57CD8" w:rsidRDefault="00A57CD8" w:rsidP="00A57CD8">
      <w:pPr>
        <w:ind w:firstLine="26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CD8">
        <w:rPr>
          <w:rFonts w:ascii="Times New Roman" w:hAnsi="Times New Roman" w:cs="Times New Roman"/>
          <w:bCs/>
          <w:sz w:val="24"/>
          <w:szCs w:val="24"/>
        </w:rPr>
        <w:t xml:space="preserve">Vuestras Comisiones de Presupuesto y Hacienda y de Legislación General, han considerado el proyecto de Ley </w:t>
      </w:r>
      <w:r>
        <w:rPr>
          <w:rFonts w:ascii="Times New Roman" w:hAnsi="Times New Roman" w:cs="Times New Roman"/>
          <w:bCs/>
          <w:sz w:val="24"/>
          <w:szCs w:val="24"/>
        </w:rPr>
        <w:t xml:space="preserve">venido en revisión </w:t>
      </w:r>
      <w:r w:rsidRPr="00A57CD8">
        <w:rPr>
          <w:rFonts w:ascii="Times New Roman" w:hAnsi="Times New Roman" w:cs="Times New Roman"/>
          <w:bCs/>
          <w:sz w:val="24"/>
          <w:szCs w:val="24"/>
        </w:rPr>
        <w:t xml:space="preserve">contenido en el Expediente Nº </w:t>
      </w:r>
      <w:r>
        <w:rPr>
          <w:rFonts w:ascii="Times New Roman" w:hAnsi="Times New Roman" w:cs="Times New Roman"/>
          <w:bCs/>
          <w:sz w:val="24"/>
          <w:szCs w:val="24"/>
        </w:rPr>
        <w:t>25.694</w:t>
      </w:r>
      <w:r w:rsidRPr="00A57CD8">
        <w:rPr>
          <w:rFonts w:ascii="Times New Roman" w:hAnsi="Times New Roman" w:cs="Times New Roman"/>
          <w:bCs/>
          <w:sz w:val="24"/>
          <w:szCs w:val="24"/>
        </w:rPr>
        <w:t xml:space="preserve">, de autoría del Poder Ejecutivo, mediante el cual se </w:t>
      </w:r>
      <w:r>
        <w:rPr>
          <w:rFonts w:ascii="Times New Roman" w:hAnsi="Times New Roman" w:cs="Times New Roman"/>
          <w:bCs/>
          <w:sz w:val="24"/>
          <w:szCs w:val="24"/>
        </w:rPr>
        <w:t>modifica el Código Fiscal T.O 202</w:t>
      </w:r>
      <w:r w:rsidR="00432C0E">
        <w:rPr>
          <w:rFonts w:ascii="Times New Roman" w:hAnsi="Times New Roman" w:cs="Times New Roman"/>
          <w:bCs/>
          <w:sz w:val="24"/>
          <w:szCs w:val="24"/>
        </w:rPr>
        <w:t>2</w:t>
      </w:r>
      <w:r w:rsidRPr="00A57CD8">
        <w:rPr>
          <w:rFonts w:ascii="Times New Roman" w:hAnsi="Times New Roman" w:cs="Times New Roman"/>
          <w:bCs/>
          <w:sz w:val="24"/>
          <w:szCs w:val="24"/>
        </w:rPr>
        <w:t>;</w:t>
      </w:r>
      <w:r w:rsidRPr="00A57CD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cuyo texto fuera aprobado en Reunión Conjunta d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e Comisiones realizada el día 17</w:t>
      </w:r>
      <w:r w:rsidRPr="00A57CD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 </w:t>
      </w:r>
      <w:r w:rsidR="008C0563">
        <w:rPr>
          <w:rFonts w:ascii="Times New Roman" w:hAnsi="Times New Roman" w:cs="Times New Roman"/>
          <w:bCs/>
          <w:sz w:val="24"/>
          <w:szCs w:val="24"/>
          <w:lang w:val="es-ES"/>
        </w:rPr>
        <w:t>mayo</w:t>
      </w:r>
      <w:r w:rsidRPr="00A57CD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 2023, en la modalidad establecida por la Resolución Nº 026 HCS -141º Período Legislativo. El Secretario Adjunto de Comisiones Dr. José Francisco </w:t>
      </w:r>
      <w:proofErr w:type="spellStart"/>
      <w:r w:rsidRPr="00A57CD8">
        <w:rPr>
          <w:rFonts w:ascii="Times New Roman" w:hAnsi="Times New Roman" w:cs="Times New Roman"/>
          <w:bCs/>
          <w:sz w:val="24"/>
          <w:szCs w:val="24"/>
          <w:lang w:val="es-ES"/>
        </w:rPr>
        <w:t>Umedez</w:t>
      </w:r>
      <w:proofErr w:type="spellEnd"/>
      <w:r w:rsidRPr="00A57CD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da fe de la adhesión de los integrantes de las Comisiones en cantidad suficiente para alcanzar la Mayoría que avala el presente texto normativo; y por las razones que dará su </w:t>
      </w:r>
      <w:r w:rsidR="004718FC">
        <w:rPr>
          <w:rFonts w:ascii="Times New Roman" w:hAnsi="Times New Roman" w:cs="Times New Roman"/>
          <w:bCs/>
          <w:sz w:val="24"/>
          <w:szCs w:val="24"/>
          <w:lang w:val="es-ES"/>
        </w:rPr>
        <w:t>m</w:t>
      </w:r>
      <w:r w:rsidRPr="00A57CD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iembro informante, aconsejan su aprobación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con las modificaciones introducidas</w:t>
      </w:r>
      <w:r w:rsidRPr="00A57CD8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</w:p>
    <w:p w:rsidR="0020105D" w:rsidRDefault="0020105D" w:rsidP="002010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20105D" w:rsidRPr="0020105D" w:rsidRDefault="0020105D" w:rsidP="002010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0105D">
        <w:rPr>
          <w:rFonts w:ascii="Times New Roman" w:hAnsi="Times New Roman" w:cs="Times New Roman"/>
          <w:b/>
          <w:bCs/>
          <w:sz w:val="24"/>
          <w:szCs w:val="24"/>
          <w:lang w:val="es-ES"/>
        </w:rPr>
        <w:t>LA LEGISLATURA DE LA PROVINCIA DE ENTRE RÍOS SANCIONA CON FUERZA DE</w:t>
      </w:r>
    </w:p>
    <w:p w:rsidR="0020105D" w:rsidRPr="0020105D" w:rsidRDefault="0020105D" w:rsidP="0020105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0105D">
        <w:rPr>
          <w:rFonts w:ascii="Times New Roman" w:hAnsi="Times New Roman" w:cs="Times New Roman"/>
          <w:b/>
          <w:sz w:val="24"/>
          <w:szCs w:val="24"/>
          <w:lang w:val="es-ES"/>
        </w:rPr>
        <w:t>L E Y:</w:t>
      </w:r>
    </w:p>
    <w:p w:rsidR="0020105D" w:rsidRPr="0020105D" w:rsidRDefault="0020105D" w:rsidP="0020105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0105D" w:rsidRPr="0020105D" w:rsidRDefault="0020105D" w:rsidP="002010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DEL CÓ</w:t>
      </w:r>
      <w:r w:rsidR="00FD2997">
        <w:rPr>
          <w:rFonts w:ascii="Times New Roman" w:hAnsi="Times New Roman" w:cs="Times New Roman"/>
          <w:b/>
          <w:bCs/>
          <w:sz w:val="24"/>
          <w:szCs w:val="24"/>
          <w:lang w:val="es-ES"/>
        </w:rPr>
        <w:t>DIGO</w:t>
      </w:r>
      <w:r w:rsidRPr="0020105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FISCAL</w:t>
      </w:r>
    </w:p>
    <w:p w:rsidR="0020105D" w:rsidRPr="0020105D" w:rsidRDefault="0020105D" w:rsidP="0020105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0105D" w:rsidRPr="0020105D" w:rsidRDefault="0020105D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0105D">
        <w:rPr>
          <w:rFonts w:ascii="Times New Roman" w:hAnsi="Times New Roman" w:cs="Times New Roman"/>
          <w:b/>
          <w:sz w:val="24"/>
          <w:szCs w:val="24"/>
          <w:lang w:val="es-ES"/>
        </w:rPr>
        <w:t xml:space="preserve">ARTÍCULO 1º.- </w:t>
      </w:r>
      <w:r w:rsidRPr="0020105D">
        <w:rPr>
          <w:rFonts w:ascii="Times New Roman" w:hAnsi="Times New Roman" w:cs="Times New Roman"/>
          <w:sz w:val="24"/>
          <w:szCs w:val="24"/>
          <w:lang w:val="es-ES"/>
        </w:rPr>
        <w:t xml:space="preserve">Sustitúyase el </w:t>
      </w:r>
      <w:r w:rsidR="00FD2997">
        <w:rPr>
          <w:rFonts w:ascii="Times New Roman" w:hAnsi="Times New Roman" w:cs="Times New Roman"/>
          <w:sz w:val="24"/>
          <w:szCs w:val="24"/>
          <w:lang w:val="es-ES"/>
        </w:rPr>
        <w:t xml:space="preserve">Artículo 45º del Código Fiscal </w:t>
      </w:r>
      <w:r w:rsidRPr="0020105D">
        <w:rPr>
          <w:rFonts w:ascii="Times New Roman" w:hAnsi="Times New Roman" w:cs="Times New Roman"/>
          <w:sz w:val="24"/>
          <w:szCs w:val="24"/>
          <w:lang w:val="es-ES"/>
        </w:rPr>
        <w:t>(T.O. 2022) por el siguiente texto:</w:t>
      </w:r>
    </w:p>
    <w:p w:rsidR="0020105D" w:rsidRPr="00B44BDF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“</w:t>
      </w:r>
      <w:r w:rsidR="00B44BDF">
        <w:rPr>
          <w:rFonts w:ascii="Times New Roman" w:hAnsi="Times New Roman" w:cs="Times New Roman"/>
          <w:b/>
          <w:i/>
          <w:sz w:val="24"/>
          <w:szCs w:val="24"/>
          <w:lang w:val="es-ES"/>
        </w:rPr>
        <w:t>ARTÍ</w:t>
      </w:r>
      <w:r w:rsidRPr="00B44BDF">
        <w:rPr>
          <w:rFonts w:ascii="Times New Roman" w:hAnsi="Times New Roman" w:cs="Times New Roman"/>
          <w:b/>
          <w:i/>
          <w:sz w:val="24"/>
          <w:szCs w:val="24"/>
          <w:lang w:val="es-ES"/>
        </w:rPr>
        <w:t>CULO 45°.-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Constituyen incumplimiento de los Deberes Formales toda acción u omisión de los contribuyentes, responsables y terceros que viole las disposiciones de colaboración, las relativas a la determinación de la obligación tributaria o que obstaculice la fiscalización por parte de la Administradora.</w:t>
      </w:r>
    </w:p>
    <w:p w:rsidR="0020105D" w:rsidRPr="00B44BDF" w:rsidRDefault="002761DF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Incurren en incumplimiento </w:t>
      </w:r>
      <w:r w:rsidR="00A57CD8">
        <w:rPr>
          <w:rFonts w:ascii="Times New Roman" w:hAnsi="Times New Roman" w:cs="Times New Roman"/>
          <w:i/>
          <w:sz w:val="24"/>
          <w:szCs w:val="24"/>
          <w:lang w:val="es-ES"/>
        </w:rPr>
        <w:t>de los Deberes</w:t>
      </w:r>
      <w:r w:rsidR="0020105D"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Formales sin perjuicio de otras situaciones, los que no cumplan las obligaciones previstas en los Artículos 21° y 26° o los restantes Deberes Formales establecidos por este Código, su reglamentación o por la Administradora.”</w:t>
      </w:r>
    </w:p>
    <w:p w:rsidR="0020105D" w:rsidRPr="0020105D" w:rsidRDefault="0020105D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05D" w:rsidRPr="0020105D" w:rsidRDefault="0020105D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20105D">
        <w:rPr>
          <w:rFonts w:ascii="Times New Roman" w:hAnsi="Times New Roman" w:cs="Times New Roman"/>
          <w:b/>
          <w:sz w:val="24"/>
          <w:szCs w:val="24"/>
          <w:lang w:val="es-ES"/>
        </w:rPr>
        <w:t>ARTÍCULO  2</w:t>
      </w:r>
      <w:proofErr w:type="gramEnd"/>
      <w:r w:rsidRPr="0020105D">
        <w:rPr>
          <w:rFonts w:ascii="Times New Roman" w:hAnsi="Times New Roman" w:cs="Times New Roman"/>
          <w:b/>
          <w:sz w:val="24"/>
          <w:szCs w:val="24"/>
          <w:lang w:val="es-ES"/>
        </w:rPr>
        <w:t>°.-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20105D">
        <w:rPr>
          <w:rFonts w:ascii="Times New Roman" w:hAnsi="Times New Roman" w:cs="Times New Roman"/>
          <w:sz w:val="24"/>
          <w:szCs w:val="24"/>
          <w:lang w:val="es-ES"/>
        </w:rPr>
        <w:t>Incorpórase</w:t>
      </w:r>
      <w:proofErr w:type="spellEnd"/>
      <w:r w:rsidRPr="0020105D">
        <w:rPr>
          <w:rFonts w:ascii="Times New Roman" w:hAnsi="Times New Roman" w:cs="Times New Roman"/>
          <w:sz w:val="24"/>
          <w:szCs w:val="24"/>
          <w:lang w:val="es-ES"/>
        </w:rPr>
        <w:t xml:space="preserve"> como último párrafo del Artículo 64° del Código Fiscal (T.O. 2022 ) el siguiente texto:</w:t>
      </w:r>
    </w:p>
    <w:p w:rsidR="0020105D" w:rsidRPr="00B44BDF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“Asimismo, la Administradora podrá establecer descuentos de hasta un cinco por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ciento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(5 %) en los Impuestos Inmobiliario y a los Automotores, adicionales a los establecidos en el párrafo precedente, con el objeto de promover acción</w:t>
      </w:r>
      <w:r w:rsidR="003E4CCC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es de administración tributaria.”</w:t>
      </w:r>
    </w:p>
    <w:p w:rsidR="0020105D" w:rsidRPr="0020105D" w:rsidRDefault="0020105D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0105D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ARTÍCULO   3º.- </w:t>
      </w:r>
      <w:r w:rsidR="00FD2997">
        <w:rPr>
          <w:rFonts w:ascii="Times New Roman" w:hAnsi="Times New Roman" w:cs="Times New Roman"/>
          <w:sz w:val="24"/>
          <w:szCs w:val="24"/>
          <w:lang w:val="es-ES"/>
        </w:rPr>
        <w:t xml:space="preserve">Sustitúyase </w:t>
      </w:r>
      <w:r w:rsidRPr="0020105D">
        <w:rPr>
          <w:rFonts w:ascii="Times New Roman" w:hAnsi="Times New Roman" w:cs="Times New Roman"/>
          <w:sz w:val="24"/>
          <w:szCs w:val="24"/>
          <w:lang w:val="es-ES"/>
        </w:rPr>
        <w:t>el Inciso r) del Artículo 150º del Código Fiscal (T.O. 2022) por el siguiente texto:</w:t>
      </w:r>
    </w:p>
    <w:p w:rsidR="0020105D" w:rsidRPr="00B44BDF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“</w:t>
      </w:r>
      <w:r w:rsidRPr="00B44BDF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r) 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Los inmuebles cuya titularidad sea de propiedad de empresas o entidades destinadas a la prestación de servicios de Salud - Clínicas y Sanatorios debidamente habilitados y reconocidos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>por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 Autoridad Provincial competente, en un cuarenta por ciento (40%) cuando cuenten con más de cuatro (4 ) y hasta setenta (70 ) trabajadores en relación de dependencia en la provincia; y en un cincuenta por ciento ( 50%) cuando el número de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>t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rabajadores en relación de dependencia en la provincia sea mayor a setenta ( 70 )”. </w:t>
      </w:r>
    </w:p>
    <w:p w:rsidR="0020105D" w:rsidRPr="0020105D" w:rsidRDefault="0020105D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0105D">
        <w:rPr>
          <w:rFonts w:ascii="Times New Roman" w:hAnsi="Times New Roman" w:cs="Times New Roman"/>
          <w:b/>
          <w:sz w:val="24"/>
          <w:szCs w:val="24"/>
          <w:lang w:val="es-ES"/>
        </w:rPr>
        <w:t xml:space="preserve">ARTÍCULO 4 º.- </w:t>
      </w:r>
      <w:proofErr w:type="spellStart"/>
      <w:r w:rsidRPr="0020105D">
        <w:rPr>
          <w:rFonts w:ascii="Times New Roman" w:hAnsi="Times New Roman" w:cs="Times New Roman"/>
          <w:sz w:val="24"/>
          <w:szCs w:val="24"/>
          <w:lang w:val="es-ES"/>
        </w:rPr>
        <w:t>Incorpórase</w:t>
      </w:r>
      <w:proofErr w:type="spellEnd"/>
      <w:r w:rsidRPr="0020105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incíso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s) al artículo</w:t>
      </w:r>
      <w:r w:rsidRPr="0020105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0105D">
        <w:rPr>
          <w:rFonts w:ascii="Times New Roman" w:hAnsi="Times New Roman" w:cs="Times New Roman"/>
          <w:sz w:val="24"/>
          <w:szCs w:val="24"/>
          <w:lang w:val="es-ES"/>
        </w:rPr>
        <w:t>Artículo</w:t>
      </w:r>
      <w:proofErr w:type="spellEnd"/>
      <w:r w:rsidRPr="0020105D">
        <w:rPr>
          <w:rFonts w:ascii="Times New Roman" w:hAnsi="Times New Roman" w:cs="Times New Roman"/>
          <w:sz w:val="24"/>
          <w:szCs w:val="24"/>
          <w:lang w:val="es-ES"/>
        </w:rPr>
        <w:t xml:space="preserve"> 150º del Código Fiscal (T.O. 2022), el siguiente texto:</w:t>
      </w:r>
    </w:p>
    <w:p w:rsidR="0020105D" w:rsidRPr="00B44BDF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“Inc. s)</w:t>
      </w:r>
      <w:r w:rsidRPr="00B44BDF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. 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Los inmuebles correspondientes a establecimientos clasificados en la categoría de Hoteles, debidamente habilitados y reconocidos por la Autoridad Provincial competente,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>en un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treinta por ciento (30%) cuando cuenten con más de cuatro (4 ) y hasta quince (15) trabajadores en relación de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>dependencia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>en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 provincia; en un cuarenta por ciento (40%) cuando cuenten con más de quince (15 ) y hasta treinta (30) trabajadores en relación de dependencia en la provincia; y en un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cincuenta por ciento (50 %) cuando el número de trabajadores en relación de dependencia en la provincia sea mayor a treinta (30 )”.</w:t>
      </w:r>
    </w:p>
    <w:p w:rsidR="0020105D" w:rsidRPr="0020105D" w:rsidRDefault="00FD2997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ARTÍCULO </w:t>
      </w:r>
      <w:r w:rsidR="0020105D" w:rsidRPr="0020105D">
        <w:rPr>
          <w:rFonts w:ascii="Times New Roman" w:hAnsi="Times New Roman" w:cs="Times New Roman"/>
          <w:b/>
          <w:sz w:val="24"/>
          <w:szCs w:val="24"/>
          <w:lang w:val="es-ES"/>
        </w:rPr>
        <w:t xml:space="preserve">5º.- </w:t>
      </w:r>
      <w:r w:rsidR="0020105D" w:rsidRPr="0020105D">
        <w:rPr>
          <w:rFonts w:ascii="Times New Roman" w:hAnsi="Times New Roman" w:cs="Times New Roman"/>
          <w:sz w:val="24"/>
          <w:szCs w:val="24"/>
          <w:lang w:val="es-ES"/>
        </w:rPr>
        <w:t>Sustitúyase el texto del título</w:t>
      </w:r>
      <w:r w:rsidR="00BA3AC9">
        <w:rPr>
          <w:rFonts w:ascii="Times New Roman" w:hAnsi="Times New Roman" w:cs="Times New Roman"/>
          <w:sz w:val="24"/>
          <w:szCs w:val="24"/>
          <w:lang w:val="es-ES"/>
        </w:rPr>
        <w:t xml:space="preserve"> los últimos tres (3) párrafos </w:t>
      </w:r>
      <w:r w:rsidR="0020105D" w:rsidRPr="0020105D">
        <w:rPr>
          <w:rFonts w:ascii="Times New Roman" w:hAnsi="Times New Roman" w:cs="Times New Roman"/>
          <w:sz w:val="24"/>
          <w:szCs w:val="24"/>
          <w:lang w:val="es-ES"/>
        </w:rPr>
        <w:t>del Artículo 150º del Código Fiscal (T.O. 2022), por el siguiente:</w:t>
      </w:r>
    </w:p>
    <w:p w:rsidR="0020105D" w:rsidRPr="00B44BDF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“A fin de otorgar las exenciones previstas en los incisos ñ), r) y s), los contribuyentes solicitantes deberán tener regularizada la deuda de los inmuebles para los que se requiere el beneficio y estar inscriptos en los tributos provinciales que correspondan, sin registrar deuda o habiendo regularizado la misma.</w:t>
      </w:r>
    </w:p>
    <w:p w:rsidR="0020105D" w:rsidRPr="00B44BDF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Los contribuyentes comprendidos en los incisos p) y q) deberán tener regularizada la deuda de los inmuebles para los que se requiere el beneficio.</w:t>
      </w:r>
    </w:p>
    <w:p w:rsidR="0020105D" w:rsidRPr="00B44BDF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 xml:space="preserve">A los efectos de determinar los porcentajes de exención definidos </w:t>
      </w:r>
      <w:r w:rsidR="004B0EA4">
        <w:rPr>
          <w:rFonts w:ascii="Times New Roman" w:hAnsi="Times New Roman" w:cs="Times New Roman"/>
          <w:i/>
          <w:sz w:val="24"/>
          <w:szCs w:val="24"/>
          <w:lang w:val="es-ES"/>
        </w:rPr>
        <w:t>en los incisos</w:t>
      </w:r>
      <w:r w:rsidR="00A57CD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r) y 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s), se considerará el promedio de trabajadores que en el año inmediato anterior hayan prestado servicios en los establecimientos sujetos a exención. En el caso de establecimientos nuevos o con una antigüedad menor a un (1) año se computarán los trabajadores en relación de dependencia que presten servicios en el mismo, al momento de solicitar el beneficio.</w:t>
      </w:r>
    </w:p>
    <w:p w:rsidR="0020105D" w:rsidRPr="00B44BDF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Independientemente de lo expresado en lo párrafos precedentes, para gozar de las exenciones previstas en el presente artículo, los interesados deberán dar previo cumplimiento a las demás formalidades, requisitos, condiciones y plazos que establezca la Administradora.”</w:t>
      </w:r>
    </w:p>
    <w:p w:rsidR="0020105D" w:rsidRPr="0020105D" w:rsidRDefault="00FD2997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ARTÍCULO </w:t>
      </w:r>
      <w:r w:rsidR="0020105D" w:rsidRPr="0020105D">
        <w:rPr>
          <w:rFonts w:ascii="Times New Roman" w:hAnsi="Times New Roman" w:cs="Times New Roman"/>
          <w:b/>
          <w:sz w:val="24"/>
          <w:szCs w:val="24"/>
          <w:lang w:val="es-ES"/>
        </w:rPr>
        <w:t xml:space="preserve">6º.- </w:t>
      </w:r>
      <w:r w:rsidR="0020105D" w:rsidRPr="0020105D">
        <w:rPr>
          <w:rFonts w:ascii="Times New Roman" w:hAnsi="Times New Roman" w:cs="Times New Roman"/>
          <w:sz w:val="24"/>
          <w:szCs w:val="24"/>
          <w:lang w:val="es-ES"/>
        </w:rPr>
        <w:t xml:space="preserve">Incorpórese como </w:t>
      </w:r>
      <w:r w:rsidR="0020105D">
        <w:rPr>
          <w:rFonts w:ascii="Times New Roman" w:hAnsi="Times New Roman" w:cs="Times New Roman"/>
          <w:sz w:val="24"/>
          <w:szCs w:val="24"/>
          <w:lang w:val="es-ES"/>
        </w:rPr>
        <w:t>inciso</w:t>
      </w:r>
      <w:r w:rsidR="00B44BD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0105D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="000E79D8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B44BDF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r w:rsidR="0020105D" w:rsidRPr="0020105D">
        <w:rPr>
          <w:rFonts w:ascii="Times New Roman" w:hAnsi="Times New Roman" w:cs="Times New Roman"/>
          <w:sz w:val="24"/>
          <w:szCs w:val="24"/>
          <w:lang w:val="es-ES"/>
        </w:rPr>
        <w:t xml:space="preserve">Artículo 197° del Código Fiscal ( T.O. 2022) </w:t>
      </w:r>
      <w:r w:rsidR="00B44BDF">
        <w:rPr>
          <w:rFonts w:ascii="Times New Roman" w:hAnsi="Times New Roman" w:cs="Times New Roman"/>
          <w:sz w:val="24"/>
          <w:szCs w:val="24"/>
          <w:lang w:val="es-ES"/>
        </w:rPr>
        <w:t>el que quedará redactado de la siguiente manera:</w:t>
      </w:r>
    </w:p>
    <w:p w:rsidR="0020105D" w:rsidRPr="00B44BDF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“</w:t>
      </w:r>
      <w:r w:rsidRPr="00B44BDF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Inciso </w:t>
      </w:r>
      <w:r w:rsidR="00B44BDF" w:rsidRPr="00B44BDF">
        <w:rPr>
          <w:rFonts w:ascii="Times New Roman" w:hAnsi="Times New Roman" w:cs="Times New Roman"/>
          <w:b/>
          <w:i/>
          <w:sz w:val="24"/>
          <w:szCs w:val="24"/>
          <w:lang w:val="es-ES"/>
        </w:rPr>
        <w:t>ñ)</w:t>
      </w:r>
      <w:r w:rsidRPr="00B44BDF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.- </w:t>
      </w:r>
      <w:r w:rsidRPr="00B44BDF">
        <w:rPr>
          <w:rFonts w:ascii="Times New Roman" w:hAnsi="Times New Roman" w:cs="Times New Roman"/>
          <w:i/>
          <w:sz w:val="24"/>
          <w:szCs w:val="24"/>
          <w:lang w:val="es-ES"/>
        </w:rPr>
        <w:t>Los ingresos provenientes de la tarifa de acceso a los Complejos Termales, que se encuentren debidamente habilitados y/o autorizados por la Autoridad Provincial competente.”</w:t>
      </w:r>
    </w:p>
    <w:p w:rsidR="00B44BDF" w:rsidRDefault="00B44BDF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05D" w:rsidRPr="0020105D" w:rsidRDefault="0020105D" w:rsidP="00B44B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0105D">
        <w:rPr>
          <w:rFonts w:ascii="Times New Roman" w:hAnsi="Times New Roman" w:cs="Times New Roman"/>
          <w:b/>
          <w:bCs/>
          <w:sz w:val="24"/>
          <w:szCs w:val="24"/>
          <w:lang w:val="es-ES"/>
        </w:rPr>
        <w:t>DE LA LEY IMPOSITIVA – LEY N° 9622</w:t>
      </w:r>
    </w:p>
    <w:p w:rsidR="0020105D" w:rsidRPr="0020105D" w:rsidRDefault="0020105D" w:rsidP="0020105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0105D" w:rsidRPr="0020105D" w:rsidRDefault="0020105D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44BDF">
        <w:rPr>
          <w:rFonts w:ascii="Times New Roman" w:hAnsi="Times New Roman" w:cs="Times New Roman"/>
          <w:b/>
          <w:sz w:val="24"/>
          <w:szCs w:val="24"/>
          <w:lang w:val="es-ES"/>
        </w:rPr>
        <w:t>ART</w:t>
      </w:r>
      <w:r w:rsidR="00B44BDF" w:rsidRPr="00B44BDF">
        <w:rPr>
          <w:rFonts w:ascii="Times New Roman" w:hAnsi="Times New Roman" w:cs="Times New Roman"/>
          <w:b/>
          <w:sz w:val="24"/>
          <w:szCs w:val="24"/>
          <w:lang w:val="es-ES"/>
        </w:rPr>
        <w:t>Í</w:t>
      </w:r>
      <w:r w:rsidRPr="00B44BDF">
        <w:rPr>
          <w:rFonts w:ascii="Times New Roman" w:hAnsi="Times New Roman" w:cs="Times New Roman"/>
          <w:b/>
          <w:sz w:val="24"/>
          <w:szCs w:val="24"/>
          <w:lang w:val="es-ES"/>
        </w:rPr>
        <w:t>CULO</w:t>
      </w:r>
      <w:r w:rsidR="00B44BD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B44BDF">
        <w:rPr>
          <w:rFonts w:ascii="Times New Roman" w:hAnsi="Times New Roman" w:cs="Times New Roman"/>
          <w:b/>
          <w:sz w:val="24"/>
          <w:szCs w:val="24"/>
          <w:lang w:val="es-ES"/>
        </w:rPr>
        <w:t>7°.-</w:t>
      </w:r>
      <w:r w:rsidR="00B44BD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20105D">
        <w:rPr>
          <w:rFonts w:ascii="Times New Roman" w:hAnsi="Times New Roman" w:cs="Times New Roman"/>
          <w:sz w:val="24"/>
          <w:szCs w:val="24"/>
          <w:lang w:val="es-ES"/>
        </w:rPr>
        <w:t>Sustitúyase el</w:t>
      </w:r>
      <w:r w:rsidR="00B44BD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0105D">
        <w:rPr>
          <w:rFonts w:ascii="Times New Roman" w:hAnsi="Times New Roman" w:cs="Times New Roman"/>
          <w:sz w:val="24"/>
          <w:szCs w:val="24"/>
          <w:lang w:val="es-ES"/>
        </w:rPr>
        <w:t>Artículo 9°de la</w:t>
      </w:r>
      <w:r w:rsidR="00B44BD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0105D">
        <w:rPr>
          <w:rFonts w:ascii="Times New Roman" w:hAnsi="Times New Roman" w:cs="Times New Roman"/>
          <w:sz w:val="24"/>
          <w:szCs w:val="24"/>
          <w:lang w:val="es-ES"/>
        </w:rPr>
        <w:t>Ley N° 9622 y modificatorias (T.O. 2022), por el siguiente texto:</w:t>
      </w:r>
    </w:p>
    <w:p w:rsidR="0020105D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20105D">
        <w:rPr>
          <w:rFonts w:ascii="Times New Roman" w:hAnsi="Times New Roman" w:cs="Times New Roman"/>
          <w:i/>
          <w:sz w:val="24"/>
          <w:szCs w:val="24"/>
          <w:lang w:val="es-ES"/>
        </w:rPr>
        <w:t>“</w:t>
      </w:r>
      <w:r w:rsidR="000B4713">
        <w:rPr>
          <w:rFonts w:ascii="Times New Roman" w:hAnsi="Times New Roman" w:cs="Times New Roman"/>
          <w:b/>
          <w:i/>
          <w:sz w:val="24"/>
          <w:szCs w:val="24"/>
          <w:lang w:val="es-ES"/>
        </w:rPr>
        <w:t>ARTICULO</w:t>
      </w:r>
      <w:r w:rsidRPr="00542D61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9 °.-</w:t>
      </w:r>
      <w:r w:rsidRPr="0020105D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Pr="0020105D">
        <w:rPr>
          <w:rFonts w:ascii="Times New Roman" w:hAnsi="Times New Roman" w:cs="Times New Roman"/>
          <w:i/>
          <w:sz w:val="24"/>
          <w:szCs w:val="24"/>
          <w:lang w:val="es-ES"/>
        </w:rPr>
        <w:t>Las alícuotas para cada actividad, serán las que se indican en el presente artículo:</w:t>
      </w:r>
    </w:p>
    <w:p w:rsidR="00B44BDF" w:rsidRPr="0020105D" w:rsidRDefault="00B44BDF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609"/>
      </w:tblGrid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Alícuota</w:t>
            </w:r>
          </w:p>
        </w:tc>
      </w:tr>
      <w:tr w:rsidR="0020105D" w:rsidRPr="0020105D" w:rsidTr="00234775">
        <w:trPr>
          <w:trHeight w:val="482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Agricultura, Ganadería, Caza y Silvicultura.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0,75 %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Pesca.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0,75 %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Explotación de Minas y Canteras.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0,75 %</w:t>
            </w:r>
          </w:p>
        </w:tc>
      </w:tr>
      <w:tr w:rsidR="0020105D" w:rsidRPr="0020105D" w:rsidTr="00234775">
        <w:trPr>
          <w:trHeight w:val="482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Industria Manufacturera (1).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1,50 %</w:t>
            </w:r>
          </w:p>
        </w:tc>
      </w:tr>
      <w:tr w:rsidR="0020105D" w:rsidRPr="0020105D" w:rsidTr="00234775">
        <w:trPr>
          <w:trHeight w:val="808"/>
        </w:trPr>
        <w:tc>
          <w:tcPr>
            <w:tcW w:w="6805" w:type="dxa"/>
          </w:tcPr>
          <w:p w:rsidR="0020105D" w:rsidRPr="0020105D" w:rsidRDefault="0020105D" w:rsidP="00B44BD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Industrialización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combustibles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líquidos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gas natural comprimido.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0,25 %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Electricidad, gas y agua.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3,75 %</w:t>
            </w:r>
          </w:p>
        </w:tc>
      </w:tr>
      <w:tr w:rsidR="0020105D" w:rsidRPr="0020105D" w:rsidTr="00234775">
        <w:trPr>
          <w:trHeight w:val="805"/>
        </w:trPr>
        <w:tc>
          <w:tcPr>
            <w:tcW w:w="6805" w:type="dxa"/>
          </w:tcPr>
          <w:p w:rsidR="0020105D" w:rsidRPr="0020105D" w:rsidRDefault="0020105D" w:rsidP="00B44BD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Suministros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electricidad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gas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destinados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producción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primaria, industrial y comercial.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2,00 %</w:t>
            </w:r>
          </w:p>
        </w:tc>
      </w:tr>
      <w:tr w:rsidR="0020105D" w:rsidRPr="0020105D" w:rsidTr="00234775">
        <w:trPr>
          <w:trHeight w:val="485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Construcción.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2,50 %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Comercio Mayorista y Minorista (2).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5,00 %</w:t>
            </w:r>
          </w:p>
        </w:tc>
      </w:tr>
      <w:tr w:rsidR="0020105D" w:rsidRPr="0020105D" w:rsidTr="00234775">
        <w:trPr>
          <w:trHeight w:val="806"/>
        </w:trPr>
        <w:tc>
          <w:tcPr>
            <w:tcW w:w="6805" w:type="dxa"/>
          </w:tcPr>
          <w:p w:rsidR="0020105D" w:rsidRPr="0020105D" w:rsidRDefault="0020105D" w:rsidP="00B44BD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Combustibles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>l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íquidos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="00B44B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gas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>natural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>comprimido mayorista.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0,25 %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Expendio al público de combustibles líquidos y gas</w:t>
            </w:r>
            <w:r w:rsidR="002761DF" w:rsidRPr="002761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natural comprimido.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3,00 %</w:t>
            </w:r>
          </w:p>
        </w:tc>
      </w:tr>
      <w:tr w:rsidR="0020105D" w:rsidRPr="0020105D" w:rsidTr="00234775">
        <w:trPr>
          <w:trHeight w:val="805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Expendio al público de combustibles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líquidos y</w:t>
            </w:r>
            <w:r w:rsidR="00BA3AC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gas natural comprimido, realizado por petroleras.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3,50 %</w:t>
            </w:r>
          </w:p>
        </w:tc>
      </w:tr>
      <w:tr w:rsidR="0020105D" w:rsidRPr="0020105D" w:rsidTr="00234775">
        <w:trPr>
          <w:trHeight w:val="2749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Comercio de: semillas; </w:t>
            </w:r>
            <w:r w:rsidR="002761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materias primas agrícolas y de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 silvicultura;    cereales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2761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="002761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incluído</w:t>
            </w:r>
            <w:proofErr w:type="spellEnd"/>
            <w:r w:rsidR="002761D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arroz), oleaginosas y forrajeras; abonos, fertilizantes y plaguicidas;</w:t>
            </w:r>
            <w:r w:rsidR="00BA3AC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materias</w:t>
            </w:r>
            <w:r w:rsidR="00BA3AC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primas</w:t>
            </w:r>
            <w:r w:rsidR="00BA3AC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pecuarias incluso animales vivos; y alimentos para animales; cuando estas actividades sean desarrolladas por cooperativas agropecuarias, por operaciones con sus asociados.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1,50 %</w:t>
            </w:r>
          </w:p>
        </w:tc>
      </w:tr>
      <w:tr w:rsidR="0020105D" w:rsidRPr="0020105D" w:rsidTr="00234775">
        <w:trPr>
          <w:trHeight w:val="1778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Comercio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comisión o consignación de: semillas, productos agrícolas, cereales (incluido arroz), oleaginosas y forrajeras; cuando estas actividades sean desarrolladas por cooperativas agropecuarias, por operaciones con sus asociados. 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3,00 %</w:t>
            </w:r>
          </w:p>
        </w:tc>
      </w:tr>
      <w:tr w:rsidR="0020105D" w:rsidRPr="0020105D" w:rsidTr="00234775">
        <w:trPr>
          <w:trHeight w:val="1130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Comercio general, cuando estas actividades sean desarrolladas por cooperativas agropecuarias, por operaciones con sus asociados.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3,50 %</w:t>
            </w:r>
          </w:p>
        </w:tc>
      </w:tr>
      <w:tr w:rsidR="0020105D" w:rsidRPr="0020105D" w:rsidTr="00234775">
        <w:trPr>
          <w:trHeight w:val="1780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Venta de cereales, forrajeras y/u oleaginosas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recibidas en canje como pago de insumos, bienes o servicios destinados a producción primaria</w:t>
            </w: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gramStart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desarrollada</w:t>
            </w:r>
            <w:proofErr w:type="gramEnd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por cuenta propia por acopiadores de tales productos.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0,25 %</w:t>
            </w:r>
          </w:p>
        </w:tc>
      </w:tr>
      <w:tr w:rsidR="0020105D" w:rsidRPr="0020105D" w:rsidTr="00234775">
        <w:trPr>
          <w:trHeight w:val="2101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Venta de cereales, forrajeras y/u oleaginosas no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recibidas en canje como pago de insumos, bienes o servicios destinados a producción primaria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desarrollada por cuenta propia por acopiadores de tales productos, cuando se opte por tributar según el mecanismo del Art. 158° del Código Fiscal.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6,00 %</w:t>
            </w:r>
          </w:p>
        </w:tc>
      </w:tr>
      <w:tr w:rsidR="0020105D" w:rsidRPr="0020105D" w:rsidTr="00234775">
        <w:trPr>
          <w:trHeight w:val="1291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Vehículos automotores cero kilómetro (0 km) por Concesionarios o Agencias Oficiales de Venta.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Artículo 165º inciso a) del Código Fiscal.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12,50 %</w:t>
            </w:r>
          </w:p>
        </w:tc>
      </w:tr>
      <w:tr w:rsidR="0020105D" w:rsidRPr="0020105D" w:rsidTr="00234775">
        <w:trPr>
          <w:trHeight w:val="806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Comercio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mayorista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Medicamentos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>uso humano.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1,60 %</w:t>
            </w:r>
          </w:p>
        </w:tc>
      </w:tr>
      <w:tr w:rsidR="0020105D" w:rsidRPr="0020105D" w:rsidTr="00234775">
        <w:trPr>
          <w:trHeight w:val="647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Farmacias,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exclusivamente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por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venta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medicamentos para uso humano, por el sistema de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2,50 %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gramStart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obras</w:t>
            </w:r>
            <w:proofErr w:type="gramEnd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sociales.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0105D" w:rsidRPr="0020105D" w:rsidTr="00234775">
        <w:trPr>
          <w:trHeight w:val="805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Comercialización de bienes usados, cuando deba tributarse sobre base imponible diferenciada.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6,00 %</w:t>
            </w:r>
          </w:p>
        </w:tc>
      </w:tr>
      <w:tr w:rsidR="0020105D" w:rsidRPr="0020105D" w:rsidTr="00234775">
        <w:trPr>
          <w:trHeight w:val="2749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Agencias o representaciones comerciales, consignaciones, comisiones, administración de bienes, intermediación </w:t>
            </w:r>
            <w:r w:rsidR="00BA3AC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en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 colocación de dinero en hipotecas, y en general, toda actividad que se ejercite percibiendo   comisiones,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bonificaciones, porcentajes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 otras  retribuciones  análogas,  salvo las que tengan otro tratamiento; círculos cerrados, círculos abiertos, sistemas 60 x 1 .000 y similares.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6,00 %</w:t>
            </w:r>
          </w:p>
        </w:tc>
      </w:tr>
      <w:tr w:rsidR="0020105D" w:rsidRPr="0020105D" w:rsidTr="00234775">
        <w:trPr>
          <w:trHeight w:val="1778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Productos agropecuarios, forestales, de la pesca y minería, incluidos agroquímicos, fertilizantes, semillas, </w:t>
            </w:r>
            <w:proofErr w:type="spellStart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plantines</w:t>
            </w:r>
            <w:proofErr w:type="spellEnd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yemas, vacunas, medicamentos y </w:t>
            </w:r>
            <w:r w:rsidR="000E79D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alimentos para animales, cuando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sean destinados al sector primario.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2,60 %</w:t>
            </w:r>
          </w:p>
        </w:tc>
      </w:tr>
      <w:tr w:rsidR="0020105D" w:rsidRPr="0020105D" w:rsidTr="00234775">
        <w:trPr>
          <w:trHeight w:val="808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Hoteles,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Hosterías,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Hospedajes,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Comedores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>y Restaurantes.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3,00 %</w:t>
            </w:r>
          </w:p>
        </w:tc>
      </w:tr>
      <w:tr w:rsidR="0020105D" w:rsidRPr="0020105D" w:rsidTr="00234775">
        <w:trPr>
          <w:trHeight w:val="481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Transporte.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2,00 %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Comunicaciones.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4,00 %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Telefonía celular.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6,50 %</w:t>
            </w:r>
          </w:p>
        </w:tc>
      </w:tr>
      <w:tr w:rsidR="0020105D" w:rsidRPr="0020105D" w:rsidTr="00234775">
        <w:trPr>
          <w:trHeight w:val="481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Intermediación financiera.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8,00 %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Financieros.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8,00 %</w:t>
            </w:r>
          </w:p>
        </w:tc>
      </w:tr>
      <w:tr w:rsidR="0020105D" w:rsidRPr="0020105D" w:rsidTr="00234775">
        <w:trPr>
          <w:trHeight w:val="808"/>
        </w:trPr>
        <w:tc>
          <w:tcPr>
            <w:tcW w:w="6805" w:type="dxa"/>
          </w:tcPr>
          <w:p w:rsidR="0020105D" w:rsidRPr="0020105D" w:rsidRDefault="00BA3AC9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Servicios financieros prestados directamente </w:t>
            </w:r>
            <w:r w:rsidR="0020105D"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 consumidores finales.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8,00 %</w:t>
            </w:r>
          </w:p>
        </w:tc>
      </w:tr>
      <w:tr w:rsidR="0020105D" w:rsidRPr="0020105D" w:rsidTr="00234775">
        <w:trPr>
          <w:trHeight w:val="1129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Préstamos, operaciones y servicios financieros en general </w:t>
            </w:r>
            <w:proofErr w:type="gramStart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realizadas</w:t>
            </w:r>
            <w:proofErr w:type="gramEnd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por entidades no sujetas al Régimen de la Ley de entidades financieras.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8,00 %</w:t>
            </w:r>
          </w:p>
        </w:tc>
      </w:tr>
      <w:tr w:rsidR="0020105D" w:rsidRPr="0020105D" w:rsidTr="00234775">
        <w:trPr>
          <w:trHeight w:val="809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Actividades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Inmobiliarias,</w:t>
            </w:r>
            <w:r w:rsidR="00BA3AC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Empresariales</w:t>
            </w:r>
            <w:r w:rsidR="00BA3AC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Alquiler.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5,00 %</w:t>
            </w:r>
          </w:p>
        </w:tc>
      </w:tr>
      <w:tr w:rsidR="0020105D" w:rsidRPr="0020105D" w:rsidTr="00234775">
        <w:trPr>
          <w:trHeight w:val="481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Compañías de seguro.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5,00 %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Productores asesores de seguro.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5,00 %</w:t>
            </w:r>
          </w:p>
        </w:tc>
      </w:tr>
      <w:tr w:rsidR="0020105D" w:rsidRPr="0020105D" w:rsidTr="00234775">
        <w:trPr>
          <w:trHeight w:val="2263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Máquinas de azar automáticas.</w:t>
            </w: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Comprende explotación de máquinas tragamonedas y dispositivos tragamonedas y dispositivos electrónicos de juegos de azar a través de concesión, provisión y/o cualquier otro tipo de modalidad.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9,00 %</w:t>
            </w:r>
          </w:p>
        </w:tc>
      </w:tr>
      <w:tr w:rsidR="0020105D" w:rsidRPr="0020105D" w:rsidTr="00234775">
        <w:trPr>
          <w:trHeight w:val="1130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digitales prestados por contribuyentes no residentes en el país relacionados con juegos de azar y apuestas.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9,00 %</w:t>
            </w:r>
          </w:p>
        </w:tc>
      </w:tr>
      <w:tr w:rsidR="0020105D" w:rsidRPr="0020105D" w:rsidTr="00234775">
        <w:trPr>
          <w:trHeight w:val="809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digitales prestados por contribuyentes no residentes en el país, excepto juegos de azar.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3,00 %</w:t>
            </w:r>
          </w:p>
        </w:tc>
      </w:tr>
      <w:tr w:rsidR="0020105D" w:rsidRPr="0020105D" w:rsidTr="00234775">
        <w:trPr>
          <w:trHeight w:val="4192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relacionados con la Actividad primaria comprendiendo los siguientes:</w:t>
            </w: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Servicios de labranza y siembra;</w:t>
            </w: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Servicios de pulverización, desinfección y fumigación;</w:t>
            </w: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Servicios de cosecha de granos y forrajes</w:t>
            </w: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Servicios de maquinarias agrícolas</w:t>
            </w: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Albergue y cuidado de animales de terceros.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2,00 %</w:t>
            </w:r>
          </w:p>
        </w:tc>
      </w:tr>
      <w:tr w:rsidR="0020105D" w:rsidRPr="0020105D" w:rsidTr="00234775">
        <w:trPr>
          <w:trHeight w:val="805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Otros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>Servicios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relacionados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>actividad primaria.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3,00 %</w:t>
            </w:r>
          </w:p>
        </w:tc>
      </w:tr>
      <w:tr w:rsidR="0020105D" w:rsidRPr="0020105D" w:rsidTr="00234775">
        <w:trPr>
          <w:trHeight w:val="808"/>
        </w:trPr>
        <w:tc>
          <w:tcPr>
            <w:tcW w:w="6805" w:type="dxa"/>
          </w:tcPr>
          <w:p w:rsidR="0020105D" w:rsidRPr="0020105D" w:rsidRDefault="0020105D" w:rsidP="00493D6A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Arrendamientos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Inmuebles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rurales</w:t>
            </w:r>
            <w:r w:rsidR="00493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y/o </w:t>
            </w:r>
            <w:proofErr w:type="spellStart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subrurales</w:t>
            </w:r>
            <w:proofErr w:type="spellEnd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4,50 %</w:t>
            </w:r>
          </w:p>
        </w:tc>
      </w:tr>
      <w:tr w:rsidR="0020105D" w:rsidRPr="0020105D" w:rsidTr="00234775">
        <w:trPr>
          <w:trHeight w:val="808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Servicios de agencias que comercialicen billetes de lotería y juegos de azar autorizados.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3,50 %</w:t>
            </w:r>
          </w:p>
        </w:tc>
      </w:tr>
      <w:tr w:rsidR="0020105D" w:rsidRPr="0020105D" w:rsidTr="00234775">
        <w:trPr>
          <w:trHeight w:val="481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sociales y de salud.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4,75 %</w:t>
            </w:r>
          </w:p>
        </w:tc>
      </w:tr>
      <w:tr w:rsidR="0020105D" w:rsidRPr="0020105D" w:rsidTr="00234775">
        <w:trPr>
          <w:trHeight w:val="485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de Internación.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2,50 %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de hospital de día.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2,50 %</w:t>
            </w:r>
          </w:p>
        </w:tc>
      </w:tr>
      <w:tr w:rsidR="0020105D" w:rsidRPr="0020105D" w:rsidTr="00234775">
        <w:trPr>
          <w:trHeight w:val="482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Servicios Hospitalarios </w:t>
            </w:r>
            <w:proofErr w:type="spellStart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n.c</w:t>
            </w:r>
            <w:proofErr w:type="spellEnd"/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2,50 %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de atención ambulatoria.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2,50 %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de atención domiciliaria programada.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2,50 %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de diagnóstico.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2,50 %</w:t>
            </w:r>
          </w:p>
        </w:tc>
      </w:tr>
      <w:tr w:rsidR="0020105D" w:rsidRPr="0020105D" w:rsidTr="00234775">
        <w:trPr>
          <w:trHeight w:val="482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de Tratamiento.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2,50 %</w:t>
            </w:r>
          </w:p>
        </w:tc>
      </w:tr>
      <w:tr w:rsidR="0020105D" w:rsidRPr="0020105D" w:rsidTr="00234775">
        <w:trPr>
          <w:trHeight w:val="484"/>
        </w:trPr>
        <w:tc>
          <w:tcPr>
            <w:tcW w:w="6805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Servicios de Emergencias Traslados.</w:t>
            </w:r>
          </w:p>
        </w:tc>
        <w:tc>
          <w:tcPr>
            <w:tcW w:w="1609" w:type="dxa"/>
          </w:tcPr>
          <w:p w:rsidR="0020105D" w:rsidRPr="0020105D" w:rsidRDefault="0020105D" w:rsidP="0020105D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0105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2,50% </w:t>
            </w:r>
          </w:p>
        </w:tc>
      </w:tr>
    </w:tbl>
    <w:p w:rsidR="00FF5DAD" w:rsidRDefault="00FF5DAD" w:rsidP="00493D6A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</w:p>
    <w:p w:rsidR="00493D6A" w:rsidRDefault="00493D6A" w:rsidP="00493D6A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1.-</w:t>
      </w:r>
      <w:r w:rsidR="00FF5DAD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) </w:t>
      </w:r>
      <w:proofErr w:type="spellStart"/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Establécense</w:t>
      </w:r>
      <w:proofErr w:type="spellEnd"/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las siguientes alícuotas especiales del Impuesto sobre los Ingresos Brutos para los ingresos  atribuibles a la actividad de Industria Manufacturera, en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función de la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categoría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que corresponda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al 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contribuyente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>según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lo 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dispuesto en el Artículo 194° de Código Fiscal (T.O. 2022 ), del siguiente modo:</w:t>
      </w:r>
    </w:p>
    <w:p w:rsidR="00493D6A" w:rsidRDefault="00493D6A" w:rsidP="00493D6A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a) D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el uno por ciento (1 %) para los contribuyentes cuya categoría sea Medianos 1.</w:t>
      </w:r>
    </w:p>
    <w:p w:rsidR="0020105D" w:rsidRPr="00493D6A" w:rsidRDefault="00493D6A" w:rsidP="00493D6A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b) 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Del uno con veinticinco centésimas por ciento (1 ,25%) para los contribuyentes cuya categoría sea Medianos.</w:t>
      </w:r>
    </w:p>
    <w:p w:rsidR="00493D6A" w:rsidRDefault="0020105D" w:rsidP="00493D6A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La Administradora Tributaria podrá requerir la documentación que considere pertinente a los fines de acreditar el desarrollo de la actividad industrial.</w:t>
      </w:r>
    </w:p>
    <w:p w:rsidR="00493D6A" w:rsidRDefault="00493D6A" w:rsidP="00493D6A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2.-)</w:t>
      </w:r>
      <w:r w:rsidR="0020105D" w:rsidRPr="00493D6A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>Establécense</w:t>
      </w:r>
      <w:proofErr w:type="spellEnd"/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las siguientes alícuotas especiales 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del Impuesto sobre los Ingresos Brutos para los ingresos atribuibles a la  actividad de “Comercio Mayorista y Minorista” en función de la categoría que corresponda al contribuyente según lo dispuesto en el Artículo 194° de Código Fiscal (T.O. 2022 ), del siguiente modo:</w:t>
      </w:r>
    </w:p>
    <w:p w:rsidR="00493D6A" w:rsidRDefault="00493D6A" w:rsidP="00493D6A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a) D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el tres con cincuenta centésimas por Ciento (3,5 %), para las categorías de Micro y Pequeños contribuyentes, que posean buena conducta tributaria, la cual se verifica cuando se den los siguientes supuestos:</w:t>
      </w:r>
    </w:p>
    <w:p w:rsidR="0020105D" w:rsidRPr="00493D6A" w:rsidRDefault="00493D6A" w:rsidP="00493D6A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a.1- 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Haber presentado y pagado dentro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del mes 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de vencimiento, las obligaciones mensuales del  Impuesto sobre los Ingresos Brutos de los períodos correspondientes al año calendario inmediato anterior.</w:t>
      </w:r>
    </w:p>
    <w:p w:rsidR="0020105D" w:rsidRPr="00493D6A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lastRenderedPageBreak/>
        <w:t>La rectificación de declaraciones juradas presentadas voluntariamente, es decir de manera espontánea, sin que medie intimación formal de la Administradora Tributaria, y pagadas dentro del mes calendario en el cual fue realizada la presentación de dicha rectificativa, no hacen perder el beneficio que otorga el presente inciso.</w:t>
      </w:r>
    </w:p>
    <w:p w:rsidR="0020105D" w:rsidRPr="00493D6A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La Declaración Jurada Rectificativa presentada con posterioridad a una intimación formal de la Administradora Tributaria hará perder el beneficio de la alícuota especial en</w:t>
      </w:r>
      <w:r w:rsid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el año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inmediato posterior al del periodo rectificado.</w:t>
      </w:r>
    </w:p>
    <w:p w:rsidR="0020105D" w:rsidRPr="00493D6A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Asimismo, el contribuyente perderá el beneficio de la  alícuota especial del presente inciso de la </w:t>
      </w:r>
      <w:r w:rsidR="00BA3AC9">
        <w:rPr>
          <w:rFonts w:ascii="Times New Roman" w:hAnsi="Times New Roman" w:cs="Times New Roman"/>
          <w:i/>
          <w:sz w:val="24"/>
          <w:szCs w:val="24"/>
          <w:lang w:val="es-ES"/>
        </w:rPr>
        <w:t>que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493D6A">
        <w:rPr>
          <w:rFonts w:ascii="Times New Roman" w:hAnsi="Times New Roman" w:cs="Times New Roman"/>
          <w:i/>
          <w:sz w:val="24"/>
          <w:szCs w:val="24"/>
          <w:lang w:val="es-ES"/>
        </w:rPr>
        <w:t>even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tualmente  hubiera gozado, en aquellos periodos anuales que </w:t>
      </w:r>
      <w:r w:rsidR="00FF5DAD">
        <w:rPr>
          <w:rFonts w:ascii="Times New Roman" w:hAnsi="Times New Roman" w:cs="Times New Roman"/>
          <w:i/>
          <w:sz w:val="24"/>
          <w:szCs w:val="24"/>
          <w:lang w:val="es-ES"/>
        </w:rPr>
        <w:t>incluy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en ajustes de fiscalización en  el Impuesto sobre los Ingreso Brutos que arrojen saldo a favor de la Administradora Tributaria y el año calendario siguiente al período en que dichos ajustes s e hayan producido.</w:t>
      </w:r>
    </w:p>
    <w:p w:rsidR="00FF5DAD" w:rsidRDefault="0020105D" w:rsidP="00FF5DA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Los ajustes de fiscalización indicados deben tratarse de decisiones administrativas firmes, ya sea por estar consentidas por el contribuyente, expresa o tácitamente, o por haberse agotado la vía administrativa mediante la interposición de los medios recursivos establecidos por el Código Fiscal para  el procedimiento administrativo tributario.</w:t>
      </w:r>
    </w:p>
    <w:p w:rsidR="00FF5DAD" w:rsidRDefault="00FF5DAD" w:rsidP="00FF5DA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s-ES"/>
        </w:rPr>
        <w:t>a.2-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No registrar, en los últimos dos (2 ) años calendarios, ajustes de fiscalización en el Impuesto sobre los Ingresos Brutos que arrojen saldo a favor de la Administradora Tributaria. Dichos ajustes deben consistir en decisiones administrativas firmes, conforme lo indicado en el último párrafo del apartado anterior.</w:t>
      </w:r>
    </w:p>
    <w:p w:rsidR="00FF5DAD" w:rsidRDefault="00FF5DAD" w:rsidP="00FF5DA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b) D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el Cuatro por Ciento (4 %), para las categorías de Micro y Pequeños contribuyentes, cuando no cumplan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los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requisitos 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de buena conducta tributaria requeridos en el inciso anterior.</w:t>
      </w:r>
    </w:p>
    <w:p w:rsidR="00FF5DAD" w:rsidRDefault="00FF5DAD" w:rsidP="00FF5DA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c) D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el Cuatro por Ciento (4%), para las categorías de Medianos 1 y Medianos 2, que posean buena conducta tributaria, conforme a los supuestos indicados en el inciso a).</w:t>
      </w:r>
    </w:p>
    <w:p w:rsidR="0020105D" w:rsidRPr="00493D6A" w:rsidRDefault="00FF5DAD" w:rsidP="00FF5DA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sz w:val="24"/>
          <w:szCs w:val="24"/>
          <w:lang w:val="es-ES"/>
        </w:rPr>
        <w:t>d) De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l Cuatro con cincuenta centésimas por ciento (4,5%), para las categorías de Medianos 1 y Medianos 2, cuando no cumplan los requisitos de buena conducta tributaria referidos en el inciso </w:t>
      </w:r>
      <w:r w:rsidR="000B2AA5">
        <w:rPr>
          <w:rFonts w:ascii="Times New Roman" w:hAnsi="Times New Roman" w:cs="Times New Roman"/>
          <w:i/>
          <w:sz w:val="24"/>
          <w:szCs w:val="24"/>
          <w:lang w:val="es-ES"/>
        </w:rPr>
        <w:t>a)</w:t>
      </w:r>
      <w:r w:rsidR="0020105D" w:rsidRPr="00493D6A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:rsidR="0020105D" w:rsidRPr="00493D6A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Los ingresos atribuibles a servicios en </w:t>
      </w:r>
      <w:r w:rsidR="000B2AA5">
        <w:rPr>
          <w:rFonts w:ascii="Times New Roman" w:hAnsi="Times New Roman" w:cs="Times New Roman"/>
          <w:i/>
          <w:sz w:val="24"/>
          <w:szCs w:val="24"/>
          <w:lang w:val="es-ES"/>
        </w:rPr>
        <w:t>gene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ral, cuando no hayan sido detallados en la tabla </w:t>
      </w:r>
      <w:r w:rsidR="000B2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 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alícuotas del presente artículo, tendrán el tratamiento dispuesto para el sector de Actividades Inmobiliarias, Empresariales y de Alquiler.</w:t>
      </w:r>
    </w:p>
    <w:p w:rsidR="0020105D" w:rsidRPr="00493D6A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Los ingresos atribuibles a ventas realizadas por contribuyentes del sector industrial a consumidores finales, tendrán el tratamiento dispuesto para el sector Comercio.</w:t>
      </w:r>
    </w:p>
    <w:p w:rsidR="0020105D" w:rsidRPr="00493D6A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 xml:space="preserve">Se define como consumidor final a aquella persona humana que destine bienes o servicios para su uso o consumo privado. No serán operaciones efectuadas con un consumidor final aquellas en las que el adquirente, locatario o prestatario, por no destinar los bienes 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lastRenderedPageBreak/>
        <w:t>o servicios para su uso o consumo privado, acredite su calidad de responsable inscripto o de exento o no alcanzado con relación al Impuesto</w:t>
      </w:r>
      <w:r w:rsidR="000B2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a</w:t>
      </w:r>
      <w:r w:rsidR="000B2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l 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Valor Agregado, o</w:t>
      </w:r>
      <w:r w:rsidR="000B2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su condición de</w:t>
      </w:r>
      <w:r w:rsidR="00FF5DAD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pequeño contribuyente inscripto en el Régimen Simplificado para Pequeños Contribuyentes.</w:t>
      </w:r>
    </w:p>
    <w:p w:rsidR="0020105D" w:rsidRPr="00493D6A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Se define como comercio mayorista, a las ventas, con prescindencia de la significación económica y/o de la cantidad de unidades comercializadas, cuando la adquisición de los bienes se realice para revenderlos o comercializarlos en el mismo estado. Asimismo, se consideran mayoristas, las ventas de bienes realizadas al Estado Nacional, Provincial o Municipal, sus entes autárquicos, y organismos descentralizados.</w:t>
      </w:r>
    </w:p>
    <w:p w:rsidR="0020105D" w:rsidRPr="00493D6A" w:rsidRDefault="0020105D" w:rsidP="0020105D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493D6A">
        <w:rPr>
          <w:rFonts w:ascii="Times New Roman" w:hAnsi="Times New Roman" w:cs="Times New Roman"/>
          <w:i/>
          <w:sz w:val="24"/>
          <w:szCs w:val="24"/>
          <w:lang w:val="es-ES"/>
        </w:rPr>
        <w:t>Lo dispuesto en el párrafo precedente no será aplicable para la comercialización mayorista de combustible.</w:t>
      </w:r>
    </w:p>
    <w:p w:rsidR="000B2AA5" w:rsidRDefault="000B2AA5" w:rsidP="0020105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0105D" w:rsidRPr="0020105D" w:rsidRDefault="0020105D" w:rsidP="002010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>ART</w:t>
      </w:r>
      <w:r w:rsidR="00FF5DAD" w:rsidRPr="000B2AA5">
        <w:rPr>
          <w:rFonts w:ascii="Times New Roman" w:hAnsi="Times New Roman" w:cs="Times New Roman"/>
          <w:b/>
          <w:sz w:val="24"/>
          <w:szCs w:val="24"/>
          <w:lang w:val="es-ES"/>
        </w:rPr>
        <w:t>Í</w:t>
      </w:r>
      <w:r w:rsidR="00B659C7">
        <w:rPr>
          <w:rFonts w:ascii="Times New Roman" w:hAnsi="Times New Roman" w:cs="Times New Roman"/>
          <w:b/>
          <w:sz w:val="24"/>
          <w:szCs w:val="24"/>
          <w:lang w:val="es-ES"/>
        </w:rPr>
        <w:t xml:space="preserve">CULO 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>8°.-</w:t>
      </w:r>
      <w:r w:rsidR="00B659C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0B2AA5" w:rsidRPr="000B2AA5">
        <w:rPr>
          <w:rFonts w:ascii="Times New Roman" w:hAnsi="Times New Roman" w:cs="Times New Roman"/>
          <w:sz w:val="24"/>
          <w:szCs w:val="24"/>
          <w:lang w:val="es-ES"/>
        </w:rPr>
        <w:t>De forma.-</w:t>
      </w:r>
    </w:p>
    <w:p w:rsidR="000B2AA5" w:rsidRDefault="000B2AA5" w:rsidP="000B2AA5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Paraná, Sala de Comisiones, 17 de mayo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2023</w:t>
      </w:r>
    </w:p>
    <w:p w:rsidR="000B2AA5" w:rsidRPr="000B2AA5" w:rsidRDefault="000B2AA5" w:rsidP="000B2AA5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2AA5" w:rsidRPr="000B2AA5" w:rsidRDefault="000B2AA5" w:rsidP="000B2AA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COMISIÓN DE PRESUPUESTO Y HACIENDA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2AA5" w:rsidRPr="000B2AA5" w:rsidRDefault="000B2AA5" w:rsidP="000B2AA5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GENRE BERT, </w:t>
      </w:r>
      <w:proofErr w:type="spellStart"/>
      <w:r w:rsidRPr="000B2AA5">
        <w:rPr>
          <w:rFonts w:ascii="Times New Roman" w:hAnsi="Times New Roman" w:cs="Times New Roman"/>
          <w:sz w:val="24"/>
          <w:szCs w:val="24"/>
          <w:lang w:val="es-ES"/>
        </w:rPr>
        <w:t>Amilcar</w:t>
      </w:r>
      <w:proofErr w:type="spellEnd"/>
      <w:r w:rsidRPr="000B2AA5">
        <w:rPr>
          <w:rFonts w:ascii="Times New Roman" w:hAnsi="Times New Roman" w:cs="Times New Roman"/>
          <w:sz w:val="24"/>
          <w:szCs w:val="24"/>
          <w:lang w:val="es-ES"/>
        </w:rPr>
        <w:t xml:space="preserve"> René                           </w:t>
      </w:r>
      <w:r w:rsidR="00BA3AC9"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FUERTES,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Adrián Federico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MAIDANA,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 xml:space="preserve">Flavia Gisela                                  </w:t>
      </w:r>
      <w:r w:rsidR="00BA3AC9"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SANTA CRUZ,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Mauricio Javier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OLANO,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 xml:space="preserve">Daniel Horacio                                   </w:t>
      </w:r>
      <w:r w:rsidR="00BA3AC9">
        <w:rPr>
          <w:rFonts w:ascii="Times New Roman" w:hAnsi="Times New Roman" w:cs="Times New Roman"/>
          <w:sz w:val="24"/>
          <w:szCs w:val="24"/>
          <w:lang w:val="es-ES"/>
        </w:rPr>
        <w:t xml:space="preserve">              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MORCHIO,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Francisco Alejandro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>GIECO,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 xml:space="preserve"> Claudia Ester                                       </w:t>
      </w:r>
      <w:r w:rsidR="00BA3AC9"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>DAL MOLÍN,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 xml:space="preserve"> Rubén Alberto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>BAGNAT,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 xml:space="preserve"> Gastón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COMISIÓN DE LEGISLACIÓN GENERAL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MARADEY,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Jorge Francisco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BERTHET,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Marcelo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AMAVET,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Horacio César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DAL MOLIN,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Rubén Alberto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MIRANDA,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Nancy Susana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</w:t>
      </w: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BAGNAT,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Gastón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B2AA5">
        <w:rPr>
          <w:rFonts w:ascii="Times New Roman" w:hAnsi="Times New Roman" w:cs="Times New Roman"/>
          <w:b/>
          <w:sz w:val="24"/>
          <w:szCs w:val="24"/>
          <w:lang w:val="es-ES"/>
        </w:rPr>
        <w:t xml:space="preserve">GIECO, </w:t>
      </w:r>
      <w:r w:rsidRPr="000B2AA5">
        <w:rPr>
          <w:rFonts w:ascii="Times New Roman" w:hAnsi="Times New Roman" w:cs="Times New Roman"/>
          <w:sz w:val="24"/>
          <w:szCs w:val="24"/>
          <w:lang w:val="es-ES"/>
        </w:rPr>
        <w:t>Claudia Ester</w:t>
      </w:r>
    </w:p>
    <w:p w:rsidR="000B2AA5" w:rsidRPr="000B2AA5" w:rsidRDefault="000B2AA5" w:rsidP="000B2AA5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744C6" w:rsidRPr="0020105D" w:rsidRDefault="000B2AA5" w:rsidP="000B2AA5">
      <w:pPr>
        <w:jc w:val="both"/>
        <w:rPr>
          <w:rFonts w:ascii="Times New Roman" w:hAnsi="Times New Roman" w:cs="Times New Roman"/>
          <w:sz w:val="24"/>
          <w:szCs w:val="24"/>
        </w:rPr>
      </w:pPr>
      <w:r w:rsidRPr="000B2AA5">
        <w:rPr>
          <w:rFonts w:ascii="Times New Roman" w:hAnsi="Times New Roman" w:cs="Times New Roman"/>
          <w:sz w:val="24"/>
          <w:szCs w:val="24"/>
        </w:rPr>
        <w:t xml:space="preserve">En mi carácter de Secretario Adjunto de Comisiones de la Honorable Cámara de Senadores de la Provincia de Entre Ríos, DOY FE que el texto que antecede ha sido consensuado y aprobado en reunión conjunta de las Comisiones de Presupuesto y </w:t>
      </w:r>
      <w:r w:rsidRPr="000B2AA5">
        <w:rPr>
          <w:rFonts w:ascii="Times New Roman" w:hAnsi="Times New Roman" w:cs="Times New Roman"/>
          <w:sz w:val="24"/>
          <w:szCs w:val="24"/>
        </w:rPr>
        <w:lastRenderedPageBreak/>
        <w:t xml:space="preserve">Hacienda y de Legislación General realizada el día </w:t>
      </w:r>
      <w:r>
        <w:rPr>
          <w:rFonts w:ascii="Times New Roman" w:hAnsi="Times New Roman" w:cs="Times New Roman"/>
          <w:sz w:val="24"/>
          <w:szCs w:val="24"/>
        </w:rPr>
        <w:t>17 de mayo</w:t>
      </w:r>
      <w:r w:rsidRPr="000B2AA5">
        <w:rPr>
          <w:rFonts w:ascii="Times New Roman" w:hAnsi="Times New Roman" w:cs="Times New Roman"/>
          <w:sz w:val="24"/>
          <w:szCs w:val="24"/>
        </w:rPr>
        <w:t xml:space="preserve"> de 2023, contando con el asentimiento de los Senadores</w:t>
      </w:r>
      <w:r>
        <w:rPr>
          <w:rFonts w:ascii="Times New Roman" w:hAnsi="Times New Roman" w:cs="Times New Roman"/>
          <w:sz w:val="24"/>
          <w:szCs w:val="24"/>
        </w:rPr>
        <w:t xml:space="preserve"> y Senadoras</w:t>
      </w:r>
      <w:r w:rsidRPr="000B2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MARADEY, BERTHET, MORCHIO, DAL MOLIN, OLANO, BAGNAT, MAIDANA, MIRANDA y AMAVET de manera presencial y </w:t>
      </w:r>
      <w:r w:rsidRPr="000B2AA5">
        <w:rPr>
          <w:rFonts w:ascii="Times New Roman" w:hAnsi="Times New Roman" w:cs="Times New Roman"/>
          <w:sz w:val="24"/>
          <w:szCs w:val="24"/>
        </w:rPr>
        <w:t>GENRE BERT</w:t>
      </w:r>
      <w:r>
        <w:rPr>
          <w:rFonts w:ascii="Times New Roman" w:hAnsi="Times New Roman" w:cs="Times New Roman"/>
          <w:sz w:val="24"/>
          <w:szCs w:val="24"/>
        </w:rPr>
        <w:t xml:space="preserve"> de manera remota</w:t>
      </w:r>
      <w:r w:rsidRPr="000B2AA5">
        <w:rPr>
          <w:rFonts w:ascii="Times New Roman" w:hAnsi="Times New Roman" w:cs="Times New Roman"/>
          <w:sz w:val="24"/>
          <w:szCs w:val="24"/>
        </w:rPr>
        <w:t>.</w:t>
      </w:r>
      <w:r w:rsidR="0020105D" w:rsidRPr="0020105D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anchor distT="0" distB="0" distL="0" distR="0" simplePos="0" relativeHeight="251659264" behindDoc="1" locked="0" layoutInCell="1" allowOverlap="1" wp14:anchorId="4E4B3267" wp14:editId="35D968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56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20105D" w:rsidRPr="0020105D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anchor distT="0" distB="0" distL="0" distR="0" simplePos="0" relativeHeight="251660288" behindDoc="1" locked="0" layoutInCell="1" allowOverlap="1" wp14:anchorId="709ACE7E" wp14:editId="7DF0B0C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20000" cy="10769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744C6" w:rsidRPr="0020105D" w:rsidSect="004718FC">
      <w:pgSz w:w="11907" w:h="16839" w:code="9"/>
      <w:pgMar w:top="3119" w:right="851" w:bottom="1134" w:left="25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5068"/>
    <w:multiLevelType w:val="hybridMultilevel"/>
    <w:tmpl w:val="FD02D942"/>
    <w:lvl w:ilvl="0" w:tplc="631451BE">
      <w:start w:val="1"/>
      <w:numFmt w:val="decimal"/>
      <w:lvlText w:val="%1-"/>
      <w:lvlJc w:val="left"/>
      <w:pPr>
        <w:ind w:left="122" w:hanging="720"/>
        <w:jc w:val="left"/>
      </w:pPr>
      <w:rPr>
        <w:rFonts w:ascii="Verdana" w:eastAsia="Verdana" w:hAnsi="Verdana" w:cs="Verdana" w:hint="default"/>
        <w:spacing w:val="0"/>
        <w:w w:val="73"/>
        <w:sz w:val="22"/>
        <w:szCs w:val="22"/>
        <w:lang w:val="es-ES" w:eastAsia="en-US" w:bidi="ar-SA"/>
      </w:rPr>
    </w:lvl>
    <w:lvl w:ilvl="1" w:tplc="77B6FB90">
      <w:numFmt w:val="bullet"/>
      <w:lvlText w:val="•"/>
      <w:lvlJc w:val="left"/>
      <w:pPr>
        <w:ind w:left="1010" w:hanging="720"/>
      </w:pPr>
      <w:rPr>
        <w:rFonts w:hint="default"/>
        <w:lang w:val="es-ES" w:eastAsia="en-US" w:bidi="ar-SA"/>
      </w:rPr>
    </w:lvl>
    <w:lvl w:ilvl="2" w:tplc="618A48A0">
      <w:numFmt w:val="bullet"/>
      <w:lvlText w:val="•"/>
      <w:lvlJc w:val="left"/>
      <w:pPr>
        <w:ind w:left="1901" w:hanging="720"/>
      </w:pPr>
      <w:rPr>
        <w:rFonts w:hint="default"/>
        <w:lang w:val="es-ES" w:eastAsia="en-US" w:bidi="ar-SA"/>
      </w:rPr>
    </w:lvl>
    <w:lvl w:ilvl="3" w:tplc="815AED54">
      <w:numFmt w:val="bullet"/>
      <w:lvlText w:val="•"/>
      <w:lvlJc w:val="left"/>
      <w:pPr>
        <w:ind w:left="2791" w:hanging="720"/>
      </w:pPr>
      <w:rPr>
        <w:rFonts w:hint="default"/>
        <w:lang w:val="es-ES" w:eastAsia="en-US" w:bidi="ar-SA"/>
      </w:rPr>
    </w:lvl>
    <w:lvl w:ilvl="4" w:tplc="58426BAE">
      <w:numFmt w:val="bullet"/>
      <w:lvlText w:val="•"/>
      <w:lvlJc w:val="left"/>
      <w:pPr>
        <w:ind w:left="3682" w:hanging="720"/>
      </w:pPr>
      <w:rPr>
        <w:rFonts w:hint="default"/>
        <w:lang w:val="es-ES" w:eastAsia="en-US" w:bidi="ar-SA"/>
      </w:rPr>
    </w:lvl>
    <w:lvl w:ilvl="5" w:tplc="5F50D78E">
      <w:numFmt w:val="bullet"/>
      <w:lvlText w:val="•"/>
      <w:lvlJc w:val="left"/>
      <w:pPr>
        <w:ind w:left="4573" w:hanging="720"/>
      </w:pPr>
      <w:rPr>
        <w:rFonts w:hint="default"/>
        <w:lang w:val="es-ES" w:eastAsia="en-US" w:bidi="ar-SA"/>
      </w:rPr>
    </w:lvl>
    <w:lvl w:ilvl="6" w:tplc="E3D62024">
      <w:numFmt w:val="bullet"/>
      <w:lvlText w:val="•"/>
      <w:lvlJc w:val="left"/>
      <w:pPr>
        <w:ind w:left="5463" w:hanging="720"/>
      </w:pPr>
      <w:rPr>
        <w:rFonts w:hint="default"/>
        <w:lang w:val="es-ES" w:eastAsia="en-US" w:bidi="ar-SA"/>
      </w:rPr>
    </w:lvl>
    <w:lvl w:ilvl="7" w:tplc="8410FD72">
      <w:numFmt w:val="bullet"/>
      <w:lvlText w:val="•"/>
      <w:lvlJc w:val="left"/>
      <w:pPr>
        <w:ind w:left="6354" w:hanging="720"/>
      </w:pPr>
      <w:rPr>
        <w:rFonts w:hint="default"/>
        <w:lang w:val="es-ES" w:eastAsia="en-US" w:bidi="ar-SA"/>
      </w:rPr>
    </w:lvl>
    <w:lvl w:ilvl="8" w:tplc="C18EEFE4">
      <w:numFmt w:val="bullet"/>
      <w:lvlText w:val="•"/>
      <w:lvlJc w:val="left"/>
      <w:pPr>
        <w:ind w:left="7245" w:hanging="720"/>
      </w:pPr>
      <w:rPr>
        <w:rFonts w:hint="default"/>
        <w:lang w:val="es-ES" w:eastAsia="en-US" w:bidi="ar-SA"/>
      </w:rPr>
    </w:lvl>
  </w:abstractNum>
  <w:abstractNum w:abstractNumId="1">
    <w:nsid w:val="558802F8"/>
    <w:multiLevelType w:val="hybridMultilevel"/>
    <w:tmpl w:val="2C226530"/>
    <w:lvl w:ilvl="0" w:tplc="64F0C4A6">
      <w:start w:val="1"/>
      <w:numFmt w:val="lowerLetter"/>
      <w:lvlText w:val="%1)"/>
      <w:lvlJc w:val="left"/>
      <w:pPr>
        <w:ind w:left="122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9DF8CEF2">
      <w:numFmt w:val="bullet"/>
      <w:lvlText w:val="•"/>
      <w:lvlJc w:val="left"/>
      <w:pPr>
        <w:ind w:left="1010" w:hanging="720"/>
      </w:pPr>
      <w:rPr>
        <w:rFonts w:hint="default"/>
        <w:lang w:val="es-ES" w:eastAsia="en-US" w:bidi="ar-SA"/>
      </w:rPr>
    </w:lvl>
    <w:lvl w:ilvl="2" w:tplc="B5E461D6">
      <w:numFmt w:val="bullet"/>
      <w:lvlText w:val="•"/>
      <w:lvlJc w:val="left"/>
      <w:pPr>
        <w:ind w:left="1901" w:hanging="720"/>
      </w:pPr>
      <w:rPr>
        <w:rFonts w:hint="default"/>
        <w:lang w:val="es-ES" w:eastAsia="en-US" w:bidi="ar-SA"/>
      </w:rPr>
    </w:lvl>
    <w:lvl w:ilvl="3" w:tplc="E09C6C48">
      <w:numFmt w:val="bullet"/>
      <w:lvlText w:val="•"/>
      <w:lvlJc w:val="left"/>
      <w:pPr>
        <w:ind w:left="2791" w:hanging="720"/>
      </w:pPr>
      <w:rPr>
        <w:rFonts w:hint="default"/>
        <w:lang w:val="es-ES" w:eastAsia="en-US" w:bidi="ar-SA"/>
      </w:rPr>
    </w:lvl>
    <w:lvl w:ilvl="4" w:tplc="96A841B2">
      <w:numFmt w:val="bullet"/>
      <w:lvlText w:val="•"/>
      <w:lvlJc w:val="left"/>
      <w:pPr>
        <w:ind w:left="3682" w:hanging="720"/>
      </w:pPr>
      <w:rPr>
        <w:rFonts w:hint="default"/>
        <w:lang w:val="es-ES" w:eastAsia="en-US" w:bidi="ar-SA"/>
      </w:rPr>
    </w:lvl>
    <w:lvl w:ilvl="5" w:tplc="A232C0FC">
      <w:numFmt w:val="bullet"/>
      <w:lvlText w:val="•"/>
      <w:lvlJc w:val="left"/>
      <w:pPr>
        <w:ind w:left="4573" w:hanging="720"/>
      </w:pPr>
      <w:rPr>
        <w:rFonts w:hint="default"/>
        <w:lang w:val="es-ES" w:eastAsia="en-US" w:bidi="ar-SA"/>
      </w:rPr>
    </w:lvl>
    <w:lvl w:ilvl="6" w:tplc="1A5A305E">
      <w:numFmt w:val="bullet"/>
      <w:lvlText w:val="•"/>
      <w:lvlJc w:val="left"/>
      <w:pPr>
        <w:ind w:left="5463" w:hanging="720"/>
      </w:pPr>
      <w:rPr>
        <w:rFonts w:hint="default"/>
        <w:lang w:val="es-ES" w:eastAsia="en-US" w:bidi="ar-SA"/>
      </w:rPr>
    </w:lvl>
    <w:lvl w:ilvl="7" w:tplc="07A0D58C">
      <w:numFmt w:val="bullet"/>
      <w:lvlText w:val="•"/>
      <w:lvlJc w:val="left"/>
      <w:pPr>
        <w:ind w:left="6354" w:hanging="720"/>
      </w:pPr>
      <w:rPr>
        <w:rFonts w:hint="default"/>
        <w:lang w:val="es-ES" w:eastAsia="en-US" w:bidi="ar-SA"/>
      </w:rPr>
    </w:lvl>
    <w:lvl w:ilvl="8" w:tplc="FAE4B91C">
      <w:numFmt w:val="bullet"/>
      <w:lvlText w:val="•"/>
      <w:lvlJc w:val="left"/>
      <w:pPr>
        <w:ind w:left="7245" w:hanging="720"/>
      </w:pPr>
      <w:rPr>
        <w:rFonts w:hint="default"/>
        <w:lang w:val="es-ES" w:eastAsia="en-US" w:bidi="ar-SA"/>
      </w:rPr>
    </w:lvl>
  </w:abstractNum>
  <w:abstractNum w:abstractNumId="2">
    <w:nsid w:val="7EA42D8B"/>
    <w:multiLevelType w:val="hybridMultilevel"/>
    <w:tmpl w:val="CE22A03C"/>
    <w:lvl w:ilvl="0" w:tplc="83FC02AC">
      <w:start w:val="1"/>
      <w:numFmt w:val="decimal"/>
      <w:lvlText w:val="(%1)"/>
      <w:lvlJc w:val="left"/>
      <w:pPr>
        <w:ind w:left="122" w:hanging="720"/>
        <w:jc w:val="left"/>
      </w:pPr>
      <w:rPr>
        <w:rFonts w:ascii="Tahoma" w:eastAsia="Tahoma" w:hAnsi="Tahoma" w:cs="Tahoma" w:hint="default"/>
        <w:b/>
        <w:bCs/>
        <w:spacing w:val="-46"/>
        <w:w w:val="83"/>
        <w:sz w:val="22"/>
        <w:szCs w:val="22"/>
        <w:lang w:val="es-ES" w:eastAsia="en-US" w:bidi="ar-SA"/>
      </w:rPr>
    </w:lvl>
    <w:lvl w:ilvl="1" w:tplc="CD560B20">
      <w:start w:val="1"/>
      <w:numFmt w:val="lowerLetter"/>
      <w:lvlText w:val="%2)"/>
      <w:lvlJc w:val="left"/>
      <w:pPr>
        <w:ind w:left="263" w:hanging="579"/>
        <w:jc w:val="left"/>
      </w:pPr>
      <w:rPr>
        <w:rFonts w:ascii="Verdana" w:eastAsia="Verdana" w:hAnsi="Verdana" w:cs="Verdana" w:hint="default"/>
        <w:spacing w:val="0"/>
        <w:w w:val="100"/>
        <w:sz w:val="22"/>
        <w:szCs w:val="22"/>
        <w:lang w:val="es-ES" w:eastAsia="en-US" w:bidi="ar-SA"/>
      </w:rPr>
    </w:lvl>
    <w:lvl w:ilvl="2" w:tplc="178CA93C">
      <w:numFmt w:val="bullet"/>
      <w:lvlText w:val="•"/>
      <w:lvlJc w:val="left"/>
      <w:pPr>
        <w:ind w:left="1234" w:hanging="579"/>
      </w:pPr>
      <w:rPr>
        <w:rFonts w:hint="default"/>
        <w:lang w:val="es-ES" w:eastAsia="en-US" w:bidi="ar-SA"/>
      </w:rPr>
    </w:lvl>
    <w:lvl w:ilvl="3" w:tplc="07E88A14">
      <w:numFmt w:val="bullet"/>
      <w:lvlText w:val="•"/>
      <w:lvlJc w:val="left"/>
      <w:pPr>
        <w:ind w:left="2208" w:hanging="579"/>
      </w:pPr>
      <w:rPr>
        <w:rFonts w:hint="default"/>
        <w:lang w:val="es-ES" w:eastAsia="en-US" w:bidi="ar-SA"/>
      </w:rPr>
    </w:lvl>
    <w:lvl w:ilvl="4" w:tplc="8E329B4A">
      <w:numFmt w:val="bullet"/>
      <w:lvlText w:val="•"/>
      <w:lvlJc w:val="left"/>
      <w:pPr>
        <w:ind w:left="3182" w:hanging="579"/>
      </w:pPr>
      <w:rPr>
        <w:rFonts w:hint="default"/>
        <w:lang w:val="es-ES" w:eastAsia="en-US" w:bidi="ar-SA"/>
      </w:rPr>
    </w:lvl>
    <w:lvl w:ilvl="5" w:tplc="05DAE6C0">
      <w:numFmt w:val="bullet"/>
      <w:lvlText w:val="•"/>
      <w:lvlJc w:val="left"/>
      <w:pPr>
        <w:ind w:left="4156" w:hanging="579"/>
      </w:pPr>
      <w:rPr>
        <w:rFonts w:hint="default"/>
        <w:lang w:val="es-ES" w:eastAsia="en-US" w:bidi="ar-SA"/>
      </w:rPr>
    </w:lvl>
    <w:lvl w:ilvl="6" w:tplc="176AA150">
      <w:numFmt w:val="bullet"/>
      <w:lvlText w:val="•"/>
      <w:lvlJc w:val="left"/>
      <w:pPr>
        <w:ind w:left="5130" w:hanging="579"/>
      </w:pPr>
      <w:rPr>
        <w:rFonts w:hint="default"/>
        <w:lang w:val="es-ES" w:eastAsia="en-US" w:bidi="ar-SA"/>
      </w:rPr>
    </w:lvl>
    <w:lvl w:ilvl="7" w:tplc="EAD44792">
      <w:numFmt w:val="bullet"/>
      <w:lvlText w:val="•"/>
      <w:lvlJc w:val="left"/>
      <w:pPr>
        <w:ind w:left="6104" w:hanging="579"/>
      </w:pPr>
      <w:rPr>
        <w:rFonts w:hint="default"/>
        <w:lang w:val="es-ES" w:eastAsia="en-US" w:bidi="ar-SA"/>
      </w:rPr>
    </w:lvl>
    <w:lvl w:ilvl="8" w:tplc="2098E7F2">
      <w:numFmt w:val="bullet"/>
      <w:lvlText w:val="•"/>
      <w:lvlJc w:val="left"/>
      <w:pPr>
        <w:ind w:left="7078" w:hanging="57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9"/>
    <w:rsid w:val="000A258D"/>
    <w:rsid w:val="000B2AA5"/>
    <w:rsid w:val="000B4713"/>
    <w:rsid w:val="000E79D8"/>
    <w:rsid w:val="0020105D"/>
    <w:rsid w:val="002761DF"/>
    <w:rsid w:val="003E4CCC"/>
    <w:rsid w:val="003F4135"/>
    <w:rsid w:val="00432C0E"/>
    <w:rsid w:val="004718FC"/>
    <w:rsid w:val="00493D6A"/>
    <w:rsid w:val="004B0EA4"/>
    <w:rsid w:val="00542D61"/>
    <w:rsid w:val="006744C6"/>
    <w:rsid w:val="008C0563"/>
    <w:rsid w:val="00A06BC8"/>
    <w:rsid w:val="00A57CD8"/>
    <w:rsid w:val="00B44BDF"/>
    <w:rsid w:val="00B659C7"/>
    <w:rsid w:val="00B90159"/>
    <w:rsid w:val="00BA3AC9"/>
    <w:rsid w:val="00C765B6"/>
    <w:rsid w:val="00D101F1"/>
    <w:rsid w:val="00E230F0"/>
    <w:rsid w:val="00FD2997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1281D-1F35-4E36-943C-685D6E87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0105D"/>
    <w:pPr>
      <w:widowControl w:val="0"/>
      <w:autoSpaceDE w:val="0"/>
      <w:autoSpaceDN w:val="0"/>
      <w:spacing w:after="0" w:line="240" w:lineRule="auto"/>
      <w:ind w:left="786" w:right="722"/>
      <w:jc w:val="center"/>
      <w:outlineLvl w:val="0"/>
    </w:pPr>
    <w:rPr>
      <w:rFonts w:ascii="Tahoma" w:eastAsia="Tahoma" w:hAnsi="Tahoma" w:cs="Tahoma"/>
      <w:b/>
      <w:bCs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0105D"/>
    <w:rPr>
      <w:rFonts w:ascii="Tahoma" w:eastAsia="Tahoma" w:hAnsi="Tahoma" w:cs="Tahoma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2010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0105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105D"/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1"/>
    <w:qFormat/>
    <w:rsid w:val="0020105D"/>
    <w:pPr>
      <w:widowControl w:val="0"/>
      <w:autoSpaceDE w:val="0"/>
      <w:autoSpaceDN w:val="0"/>
      <w:spacing w:after="0" w:line="240" w:lineRule="auto"/>
      <w:ind w:left="122" w:right="134"/>
      <w:jc w:val="both"/>
    </w:pPr>
    <w:rPr>
      <w:rFonts w:ascii="Verdana" w:eastAsia="Verdana" w:hAnsi="Verdana" w:cs="Verdana"/>
      <w:lang w:val="es-ES"/>
    </w:rPr>
  </w:style>
  <w:style w:type="paragraph" w:customStyle="1" w:styleId="TableParagraph">
    <w:name w:val="Table Paragraph"/>
    <w:basedOn w:val="Normal"/>
    <w:uiPriority w:val="1"/>
    <w:qFormat/>
    <w:rsid w:val="0020105D"/>
    <w:pPr>
      <w:widowControl w:val="0"/>
      <w:autoSpaceDE w:val="0"/>
      <w:autoSpaceDN w:val="0"/>
      <w:spacing w:before="2" w:after="0" w:line="240" w:lineRule="auto"/>
      <w:ind w:left="107"/>
    </w:pPr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2529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17</cp:revision>
  <cp:lastPrinted>2023-05-18T11:32:00Z</cp:lastPrinted>
  <dcterms:created xsi:type="dcterms:W3CDTF">2023-05-17T20:15:00Z</dcterms:created>
  <dcterms:modified xsi:type="dcterms:W3CDTF">2023-05-18T11:32:00Z</dcterms:modified>
</cp:coreProperties>
</file>