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6A0" w:rsidRPr="00D81746" w:rsidRDefault="009E66A0" w:rsidP="009E66A0">
      <w:pPr>
        <w:jc w:val="center"/>
        <w:rPr>
          <w:rFonts w:ascii="Century Gothic" w:hAnsi="Century Gothic" w:cs="Times New Roman"/>
          <w:b/>
          <w:sz w:val="24"/>
          <w:szCs w:val="24"/>
        </w:rPr>
      </w:pPr>
      <w:r w:rsidRPr="00D81746">
        <w:rPr>
          <w:rFonts w:ascii="Century Gothic" w:hAnsi="Century Gothic" w:cs="Times New Roman"/>
          <w:b/>
          <w:sz w:val="24"/>
          <w:szCs w:val="24"/>
        </w:rPr>
        <w:t>LA LEGISLATURA DE LA PROVINCIA DE ENTRE R</w:t>
      </w:r>
      <w:r w:rsidR="002E1B8E" w:rsidRPr="00D81746">
        <w:rPr>
          <w:rFonts w:ascii="Century Gothic" w:hAnsi="Century Gothic" w:cs="Times New Roman"/>
          <w:b/>
          <w:sz w:val="24"/>
          <w:szCs w:val="24"/>
        </w:rPr>
        <w:t>Í</w:t>
      </w:r>
      <w:r w:rsidRPr="00D81746">
        <w:rPr>
          <w:rFonts w:ascii="Century Gothic" w:hAnsi="Century Gothic" w:cs="Times New Roman"/>
          <w:b/>
          <w:sz w:val="24"/>
          <w:szCs w:val="24"/>
        </w:rPr>
        <w:t>OS SANCIONA</w:t>
      </w:r>
    </w:p>
    <w:p w:rsidR="009E66A0" w:rsidRPr="00D81746" w:rsidRDefault="009E66A0" w:rsidP="009E66A0">
      <w:pPr>
        <w:jc w:val="center"/>
        <w:rPr>
          <w:rFonts w:ascii="Century Gothic" w:hAnsi="Century Gothic" w:cs="Times New Roman"/>
          <w:b/>
          <w:sz w:val="24"/>
          <w:szCs w:val="24"/>
        </w:rPr>
      </w:pPr>
      <w:r w:rsidRPr="00D81746">
        <w:rPr>
          <w:rFonts w:ascii="Century Gothic" w:hAnsi="Century Gothic" w:cs="Times New Roman"/>
          <w:b/>
          <w:sz w:val="24"/>
          <w:szCs w:val="24"/>
        </w:rPr>
        <w:t>CON FUERZA DE</w:t>
      </w:r>
    </w:p>
    <w:p w:rsidR="009E66A0" w:rsidRPr="00D81746" w:rsidRDefault="009E66A0" w:rsidP="009E66A0">
      <w:pPr>
        <w:jc w:val="center"/>
        <w:rPr>
          <w:rFonts w:ascii="Century Gothic" w:hAnsi="Century Gothic" w:cs="Times New Roman"/>
          <w:b/>
          <w:sz w:val="24"/>
          <w:szCs w:val="24"/>
        </w:rPr>
      </w:pPr>
      <w:r w:rsidRPr="00D81746">
        <w:rPr>
          <w:rFonts w:ascii="Century Gothic" w:hAnsi="Century Gothic" w:cs="Times New Roman"/>
          <w:b/>
          <w:sz w:val="24"/>
          <w:szCs w:val="24"/>
        </w:rPr>
        <w:t>LEY:</w:t>
      </w:r>
    </w:p>
    <w:p w:rsidR="00037A45" w:rsidRDefault="00203E31" w:rsidP="00A87734">
      <w:pPr>
        <w:spacing w:line="360" w:lineRule="auto"/>
        <w:jc w:val="both"/>
        <w:rPr>
          <w:rFonts w:ascii="Century Gothic" w:hAnsi="Century Gothic" w:cs="Times New Roman"/>
          <w:sz w:val="24"/>
          <w:szCs w:val="24"/>
        </w:rPr>
      </w:pPr>
      <w:r w:rsidRPr="00D81746">
        <w:rPr>
          <w:rFonts w:ascii="Century Gothic" w:hAnsi="Century Gothic" w:cs="Times New Roman"/>
          <w:b/>
          <w:sz w:val="24"/>
          <w:szCs w:val="24"/>
          <w:u w:val="single"/>
        </w:rPr>
        <w:t>ARTÍCULO 1°.-</w:t>
      </w:r>
      <w:r w:rsidR="00037A45" w:rsidRPr="00037A45">
        <w:rPr>
          <w:rFonts w:ascii="Century Gothic" w:hAnsi="Century Gothic" w:cs="Times New Roman"/>
          <w:b/>
          <w:sz w:val="24"/>
          <w:szCs w:val="24"/>
        </w:rPr>
        <w:t xml:space="preserve"> </w:t>
      </w:r>
      <w:r w:rsidR="00037A45">
        <w:rPr>
          <w:rFonts w:ascii="Century Gothic" w:hAnsi="Century Gothic" w:cs="Times New Roman"/>
          <w:sz w:val="24"/>
          <w:szCs w:val="24"/>
        </w:rPr>
        <w:t xml:space="preserve">Establecer los límites jurisdiccionales de la Comuna </w:t>
      </w:r>
      <w:r w:rsidR="00BA0E9A">
        <w:rPr>
          <w:rFonts w:ascii="Century Gothic" w:hAnsi="Century Gothic" w:cs="Times New Roman"/>
          <w:sz w:val="24"/>
          <w:szCs w:val="24"/>
        </w:rPr>
        <w:t>Colonia Tunas</w:t>
      </w:r>
      <w:r w:rsidR="00037A45">
        <w:rPr>
          <w:rFonts w:ascii="Century Gothic" w:hAnsi="Century Gothic" w:cs="Times New Roman"/>
          <w:sz w:val="24"/>
          <w:szCs w:val="24"/>
        </w:rPr>
        <w:t xml:space="preserve">, Distrito </w:t>
      </w:r>
      <w:r w:rsidR="00BA0E9A">
        <w:rPr>
          <w:rFonts w:ascii="Century Gothic" w:hAnsi="Century Gothic" w:cs="Times New Roman"/>
          <w:sz w:val="24"/>
          <w:szCs w:val="24"/>
        </w:rPr>
        <w:t>Tatutí</w:t>
      </w:r>
      <w:r w:rsidR="00037A45">
        <w:rPr>
          <w:rFonts w:ascii="Century Gothic" w:hAnsi="Century Gothic" w:cs="Times New Roman"/>
          <w:sz w:val="24"/>
          <w:szCs w:val="24"/>
        </w:rPr>
        <w:t xml:space="preserve">, del Departamento </w:t>
      </w:r>
      <w:r w:rsidR="00BA0E9A">
        <w:rPr>
          <w:rFonts w:ascii="Century Gothic" w:hAnsi="Century Gothic" w:cs="Times New Roman"/>
          <w:sz w:val="24"/>
          <w:szCs w:val="24"/>
        </w:rPr>
        <w:t xml:space="preserve">Federación </w:t>
      </w:r>
      <w:r w:rsidR="00037A45">
        <w:rPr>
          <w:rFonts w:ascii="Century Gothic" w:hAnsi="Century Gothic" w:cs="Times New Roman"/>
          <w:sz w:val="24"/>
          <w:szCs w:val="24"/>
        </w:rPr>
        <w:t>de acuerdo a los siguientes límites y linderos:</w:t>
      </w:r>
    </w:p>
    <w:p w:rsidR="00233E55" w:rsidRPr="00233E55" w:rsidRDefault="00233E55" w:rsidP="00233E55">
      <w:pPr>
        <w:pStyle w:val="NormalWeb"/>
        <w:spacing w:line="360" w:lineRule="auto"/>
        <w:jc w:val="both"/>
        <w:rPr>
          <w:rFonts w:ascii="Century Gothic" w:eastAsiaTheme="minorHAnsi" w:hAnsi="Century Gothic"/>
          <w:lang w:eastAsia="en-US"/>
        </w:rPr>
      </w:pPr>
      <w:r w:rsidRPr="00233E55">
        <w:rPr>
          <w:rFonts w:ascii="Century Gothic" w:eastAsiaTheme="minorHAnsi" w:hAnsi="Century Gothic"/>
          <w:b/>
          <w:lang w:eastAsia="en-US"/>
        </w:rPr>
        <w:t>NORTE:</w:t>
      </w:r>
      <w:r w:rsidRPr="00233E55">
        <w:rPr>
          <w:rFonts w:ascii="Century Gothic" w:eastAsiaTheme="minorHAnsi" w:hAnsi="Century Gothic"/>
          <w:lang w:eastAsia="en-US"/>
        </w:rPr>
        <w:t xml:space="preserve"> por recta desde el vértice 1 (30°21’19.51” S; 58°20’16.08” O) hasta el vértice 2 (30°22'58.71"S; 58°18'04.49"O), y desde este último hasta intersectar la Ruta Provincial Nº1 en el vértice 3 (30°21'52.74"S; 58°16'47.17"O). Luego continúa por el lado Norte del camino general a Corrientes por Paso Algarrobo, desde el vértice 3 hasta intersectar el cauce del Arroyo Tunas en el vértice 4 (30°19'50.51"S; 58°11'35.65"O), todos lindando con el ejido del Municipio de San Jaime de la Frontera.</w:t>
      </w:r>
    </w:p>
    <w:p w:rsidR="00233E55" w:rsidRPr="00233E55" w:rsidRDefault="00233E55" w:rsidP="00233E55">
      <w:pPr>
        <w:pStyle w:val="NormalWeb"/>
        <w:spacing w:line="360" w:lineRule="auto"/>
        <w:jc w:val="both"/>
        <w:rPr>
          <w:rFonts w:ascii="Century Gothic" w:eastAsiaTheme="minorHAnsi" w:hAnsi="Century Gothic"/>
          <w:lang w:eastAsia="en-US"/>
        </w:rPr>
      </w:pPr>
      <w:r w:rsidRPr="00233E55">
        <w:rPr>
          <w:rFonts w:ascii="Century Gothic" w:eastAsiaTheme="minorHAnsi" w:hAnsi="Century Gothic"/>
          <w:b/>
          <w:lang w:eastAsia="en-US"/>
        </w:rPr>
        <w:t>ESTE:</w:t>
      </w:r>
      <w:r w:rsidRPr="00233E55">
        <w:rPr>
          <w:rFonts w:ascii="Century Gothic" w:eastAsiaTheme="minorHAnsi" w:hAnsi="Century Gothic"/>
          <w:lang w:eastAsia="en-US"/>
        </w:rPr>
        <w:t xml:space="preserve"> desde el vértice 4, por el cauce del Arroyo Tunas hasta su confluencia con el Río Mocoretá en el vértice 5 (30°25'34.25"S; 58°04'15.30"O). Luego, por el cauce del Río Mocoretá, desde el vértice 5 hasta el vértice 6 (30°29’20.01” S; 58°03’58.29” O), donde confluye el Arroyo Tatutí. Todos lindando con la Provincia de Corrientes.</w:t>
      </w:r>
    </w:p>
    <w:p w:rsidR="00233E55" w:rsidRPr="00233E55" w:rsidRDefault="00233E55" w:rsidP="00233E55">
      <w:pPr>
        <w:pStyle w:val="NormalWeb"/>
        <w:spacing w:line="360" w:lineRule="auto"/>
        <w:jc w:val="both"/>
        <w:rPr>
          <w:rFonts w:ascii="Century Gothic" w:eastAsiaTheme="minorHAnsi" w:hAnsi="Century Gothic"/>
          <w:lang w:eastAsia="en-US"/>
        </w:rPr>
      </w:pPr>
      <w:r w:rsidRPr="00233E55">
        <w:rPr>
          <w:rFonts w:ascii="Century Gothic" w:eastAsiaTheme="minorHAnsi" w:hAnsi="Century Gothic"/>
          <w:b/>
          <w:lang w:eastAsia="en-US"/>
        </w:rPr>
        <w:t>SUR:</w:t>
      </w:r>
      <w:r w:rsidRPr="00233E55">
        <w:rPr>
          <w:rFonts w:ascii="Century Gothic" w:eastAsiaTheme="minorHAnsi" w:hAnsi="Century Gothic"/>
          <w:lang w:eastAsia="en-US"/>
        </w:rPr>
        <w:t xml:space="preserve"> por el cauce del Arroyo Tatutí, desde el vértice 6 hasta el vértice 7 (30°29’37.81” S; 58°05’46.01” O) -desembocadura del Arroyo Torres-. Luego, por el cauce del Arroyo Torres desde el vértice 7 hasta el vértice 8 (30°34’26.19” S; 58°15’44.51” O). Ambos límites lindando con el Centro Rural de Población de Colonia Santa María y Las Margaritas. Continúa por límite parcelario, específicamente por el límite Sur de la parcela con Plano de Mensura Nº 7980 (Dpto. Federación), partiendo desde el vértice 8, pasando por los vértices 9 (30°34'24.97" S; 58°15'57.69" O), 10 (30°34'47.20" S; </w:t>
      </w:r>
      <w:r w:rsidRPr="00233E55">
        <w:rPr>
          <w:rFonts w:ascii="Century Gothic" w:eastAsiaTheme="minorHAnsi" w:hAnsi="Century Gothic"/>
          <w:lang w:eastAsia="en-US"/>
        </w:rPr>
        <w:lastRenderedPageBreak/>
        <w:t>58°16'23.96"O), 11 (30°35'01.81" S; 58°17'33.78" O) hasta llegar al vértice 12 (30°35'05.67" S; 58°18'33.63" O); seguidamente, también por límite parcelario, pero en este caso por el límite Sur de la parcela con Plano de Mensura Nº 10669 (Dpto. Federación), partiendo desde el vértice 12, pasando por los vértices 13 (30°35'32.32" S; 58°19'52.25" O), 14 (30°35'29.15" S; 58°20'38.64" O), 15 (30°35'20.53" S; 58°20'36.07" O), 16 (30°35'22.36"</w:t>
      </w:r>
      <w:r>
        <w:rPr>
          <w:rFonts w:ascii="Century Gothic" w:eastAsiaTheme="minorHAnsi" w:hAnsi="Century Gothic"/>
          <w:lang w:eastAsia="en-US"/>
        </w:rPr>
        <w:t xml:space="preserve"> </w:t>
      </w:r>
      <w:r w:rsidRPr="00233E55">
        <w:rPr>
          <w:rFonts w:ascii="Century Gothic" w:eastAsiaTheme="minorHAnsi" w:hAnsi="Century Gothic"/>
          <w:lang w:eastAsia="en-US"/>
        </w:rPr>
        <w:t>S; 58°20'44.59" O), 17 (30°35'30.73" S; 58°20'47.69" O) hasta llegar al vértice 18 (30°35’29.04” S; 58°21’28.84” O). Todos estos últimos lindando con una zona sin jurisdicción local, perteneciente al Distrito Tatutí. Finalmente, por límite parcelario que inicia en el vértice 18, pasa por los vértices 19 (30°35’14.36” S; 58°21’48.14” O), 20 (30°34’37.69” S; 58°22’10.84” O), 21 (30°33’35.27” S; 58°23’02.14” O), 22 (30°33’47.10” S; 58°23’38.88” O), 23 (30°33’43.31” S; 58°25’37.41” O), 24 (30°33’23.41” S; 58°25’37.91” O), 25 (30°33’08.76” S; 58°25’36.68” O), 26 (30°32’59.18” S; 58°25’34.50” O), 27 (30°32’54.29” S; 58°25’37.29” O), 28 (30°33’00.27” S; 58°26’05.48” O) hasta intersectar las vías del F.C.N.G.U. en el vértice 29 (30°33’05.11” S; 58°27’08.83” O). Todos lindando con el ejido del Municipio de Los Conquistadores.</w:t>
      </w:r>
    </w:p>
    <w:p w:rsidR="00233E55" w:rsidRPr="00233E55" w:rsidRDefault="00233E55" w:rsidP="00233E55">
      <w:pPr>
        <w:pStyle w:val="NormalWeb"/>
        <w:spacing w:line="360" w:lineRule="auto"/>
        <w:jc w:val="both"/>
        <w:rPr>
          <w:rFonts w:ascii="Century Gothic" w:eastAsiaTheme="minorHAnsi" w:hAnsi="Century Gothic"/>
          <w:lang w:eastAsia="en-US"/>
        </w:rPr>
      </w:pPr>
      <w:r w:rsidRPr="00233E55">
        <w:rPr>
          <w:rFonts w:ascii="Century Gothic" w:eastAsiaTheme="minorHAnsi" w:hAnsi="Century Gothic"/>
          <w:b/>
          <w:lang w:eastAsia="en-US"/>
        </w:rPr>
        <w:t>OESTE:</w:t>
      </w:r>
      <w:r w:rsidRPr="00233E55">
        <w:rPr>
          <w:rFonts w:ascii="Century Gothic" w:eastAsiaTheme="minorHAnsi" w:hAnsi="Century Gothic"/>
          <w:lang w:eastAsia="en-US"/>
        </w:rPr>
        <w:t xml:space="preserve"> por vías del F.C.N.G.U., desde el vértice 29 hasta el vértice 1, lindando con el Departamento Feliciano.</w:t>
      </w:r>
    </w:p>
    <w:p w:rsidR="009E66A0" w:rsidRPr="00CD5BD1" w:rsidRDefault="00D24B9F" w:rsidP="00E552E9">
      <w:pPr>
        <w:spacing w:after="0" w:line="360" w:lineRule="auto"/>
        <w:jc w:val="both"/>
        <w:rPr>
          <w:rFonts w:ascii="Century Gothic" w:hAnsi="Century Gothic" w:cs="Times New Roman"/>
          <w:sz w:val="24"/>
          <w:szCs w:val="24"/>
        </w:rPr>
      </w:pPr>
      <w:r w:rsidRPr="00CA0317">
        <w:rPr>
          <w:rFonts w:ascii="Century Gothic" w:hAnsi="Century Gothic" w:cs="Times New Roman"/>
          <w:b/>
          <w:sz w:val="24"/>
          <w:szCs w:val="24"/>
          <w:u w:val="single"/>
        </w:rPr>
        <w:t>ART</w:t>
      </w:r>
      <w:r w:rsidR="00EB795B" w:rsidRPr="00CA0317">
        <w:rPr>
          <w:rFonts w:ascii="Century Gothic" w:hAnsi="Century Gothic" w:cs="Times New Roman"/>
          <w:b/>
          <w:sz w:val="24"/>
          <w:szCs w:val="24"/>
          <w:u w:val="single"/>
        </w:rPr>
        <w:t>Í</w:t>
      </w:r>
      <w:r w:rsidRPr="00CA0317">
        <w:rPr>
          <w:rFonts w:ascii="Century Gothic" w:hAnsi="Century Gothic" w:cs="Times New Roman"/>
          <w:b/>
          <w:sz w:val="24"/>
          <w:szCs w:val="24"/>
          <w:u w:val="single"/>
        </w:rPr>
        <w:t>CULO 2°.-</w:t>
      </w:r>
      <w:r w:rsidR="00037A45">
        <w:rPr>
          <w:rFonts w:ascii="Century Gothic" w:hAnsi="Century Gothic" w:cs="Times New Roman"/>
          <w:sz w:val="24"/>
          <w:szCs w:val="24"/>
        </w:rPr>
        <w:t xml:space="preserve"> </w:t>
      </w:r>
      <w:r w:rsidR="00203E31" w:rsidRPr="00CD5BD1">
        <w:rPr>
          <w:rFonts w:ascii="Century Gothic" w:hAnsi="Century Gothic" w:cs="Times New Roman"/>
          <w:sz w:val="24"/>
          <w:szCs w:val="24"/>
        </w:rPr>
        <w:t>C</w:t>
      </w:r>
      <w:r w:rsidR="00737A40" w:rsidRPr="00CD5BD1">
        <w:rPr>
          <w:rFonts w:ascii="Century Gothic" w:hAnsi="Century Gothic" w:cs="Times New Roman"/>
          <w:sz w:val="24"/>
          <w:szCs w:val="24"/>
        </w:rPr>
        <w:t>omuníquese,</w:t>
      </w:r>
      <w:r w:rsidR="00203E31" w:rsidRPr="00CD5BD1">
        <w:rPr>
          <w:rFonts w:ascii="Century Gothic" w:hAnsi="Century Gothic" w:cs="Times New Roman"/>
          <w:sz w:val="24"/>
          <w:szCs w:val="24"/>
        </w:rPr>
        <w:t xml:space="preserve"> etcétera.-</w:t>
      </w:r>
    </w:p>
    <w:p w:rsidR="009E66A0" w:rsidRPr="00B67924" w:rsidRDefault="009E66A0" w:rsidP="00E552E9">
      <w:pPr>
        <w:spacing w:line="360" w:lineRule="auto"/>
        <w:rPr>
          <w:rFonts w:ascii="Century Gothic" w:hAnsi="Century Gothic" w:cs="Times New Roman"/>
          <w:color w:val="FF0000"/>
          <w:sz w:val="24"/>
          <w:szCs w:val="24"/>
        </w:rPr>
      </w:pPr>
    </w:p>
    <w:sectPr w:rsidR="009E66A0" w:rsidRPr="00B67924" w:rsidSect="00037A45">
      <w:headerReference w:type="default" r:id="rId7"/>
      <w:pgSz w:w="11907" w:h="16840" w:code="9"/>
      <w:pgMar w:top="2836" w:right="1134" w:bottom="1418"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6EE3" w:rsidRDefault="00466EE3" w:rsidP="007D3773">
      <w:pPr>
        <w:spacing w:after="0" w:line="240" w:lineRule="auto"/>
      </w:pPr>
      <w:r>
        <w:separator/>
      </w:r>
    </w:p>
  </w:endnote>
  <w:endnote w:type="continuationSeparator" w:id="1">
    <w:p w:rsidR="00466EE3" w:rsidRDefault="00466EE3" w:rsidP="007D37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6EE3" w:rsidRDefault="00466EE3" w:rsidP="007D3773">
      <w:pPr>
        <w:spacing w:after="0" w:line="240" w:lineRule="auto"/>
      </w:pPr>
      <w:r>
        <w:separator/>
      </w:r>
    </w:p>
  </w:footnote>
  <w:footnote w:type="continuationSeparator" w:id="1">
    <w:p w:rsidR="00466EE3" w:rsidRDefault="00466EE3" w:rsidP="007D37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552E9" w:rsidRPr="00FF077C" w:rsidRDefault="00E552E9" w:rsidP="00E552E9">
    <w:pPr>
      <w:pStyle w:val="Encabezado"/>
      <w:ind w:right="-108"/>
      <w:jc w:val="right"/>
      <w:rPr>
        <w:rFonts w:ascii="Calibri" w:eastAsia="Calibri" w:hAnsi="Calibri" w:cs="Times New Roman"/>
        <w:sz w:val="18"/>
        <w:szCs w:val="18"/>
      </w:rPr>
    </w:pPr>
    <w:r>
      <w:rPr>
        <w:rFonts w:ascii="Calibri" w:eastAsia="Calibri" w:hAnsi="Calibri" w:cs="Times New Roman"/>
        <w:i/>
        <w:sz w:val="18"/>
        <w:szCs w:val="18"/>
      </w:rPr>
      <w:t>“1983/2023 – 40 AÑOS DE DEMOCRACIA”</w:t>
    </w:r>
  </w:p>
  <w:p w:rsidR="00CF3C4D" w:rsidRPr="00CF3C4D" w:rsidRDefault="00CF3C4D" w:rsidP="00CF3C4D">
    <w:pPr>
      <w:pStyle w:val="Encabezado"/>
      <w:tabs>
        <w:tab w:val="clear" w:pos="4419"/>
        <w:tab w:val="clear" w:pos="8838"/>
      </w:tabs>
      <w:jc w:val="center"/>
      <w:rPr>
        <w:b/>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E620B5"/>
    <w:rsid w:val="000030E4"/>
    <w:rsid w:val="00037A45"/>
    <w:rsid w:val="000C7CE3"/>
    <w:rsid w:val="000F238C"/>
    <w:rsid w:val="001056D8"/>
    <w:rsid w:val="001653AE"/>
    <w:rsid w:val="001748E3"/>
    <w:rsid w:val="001A1BA7"/>
    <w:rsid w:val="001C374D"/>
    <w:rsid w:val="001C5C64"/>
    <w:rsid w:val="00203E31"/>
    <w:rsid w:val="00214421"/>
    <w:rsid w:val="00233E55"/>
    <w:rsid w:val="002544DF"/>
    <w:rsid w:val="002562DB"/>
    <w:rsid w:val="002D0599"/>
    <w:rsid w:val="002D2560"/>
    <w:rsid w:val="002E1B8E"/>
    <w:rsid w:val="003136FD"/>
    <w:rsid w:val="00317A60"/>
    <w:rsid w:val="00347105"/>
    <w:rsid w:val="00352FED"/>
    <w:rsid w:val="003660F6"/>
    <w:rsid w:val="003E46AE"/>
    <w:rsid w:val="0042524C"/>
    <w:rsid w:val="00466EE3"/>
    <w:rsid w:val="0046730A"/>
    <w:rsid w:val="00476DCC"/>
    <w:rsid w:val="004D3082"/>
    <w:rsid w:val="0050072E"/>
    <w:rsid w:val="00502803"/>
    <w:rsid w:val="00512E11"/>
    <w:rsid w:val="00516255"/>
    <w:rsid w:val="005856D0"/>
    <w:rsid w:val="00585FB3"/>
    <w:rsid w:val="005A2110"/>
    <w:rsid w:val="005D03F1"/>
    <w:rsid w:val="005F38AB"/>
    <w:rsid w:val="00605031"/>
    <w:rsid w:val="00613D9C"/>
    <w:rsid w:val="0062301F"/>
    <w:rsid w:val="00663CF4"/>
    <w:rsid w:val="00671C45"/>
    <w:rsid w:val="0069386E"/>
    <w:rsid w:val="006B3329"/>
    <w:rsid w:val="006D4EB0"/>
    <w:rsid w:val="00737A40"/>
    <w:rsid w:val="00743171"/>
    <w:rsid w:val="00762764"/>
    <w:rsid w:val="00781733"/>
    <w:rsid w:val="007827A3"/>
    <w:rsid w:val="00791BAC"/>
    <w:rsid w:val="007B134C"/>
    <w:rsid w:val="007B539D"/>
    <w:rsid w:val="007D3773"/>
    <w:rsid w:val="007D72E6"/>
    <w:rsid w:val="007E6B28"/>
    <w:rsid w:val="007F1798"/>
    <w:rsid w:val="00802C5B"/>
    <w:rsid w:val="00802D27"/>
    <w:rsid w:val="0084044A"/>
    <w:rsid w:val="0084719C"/>
    <w:rsid w:val="00880407"/>
    <w:rsid w:val="008C6860"/>
    <w:rsid w:val="009047E8"/>
    <w:rsid w:val="009060A9"/>
    <w:rsid w:val="00995B68"/>
    <w:rsid w:val="00997061"/>
    <w:rsid w:val="009A0514"/>
    <w:rsid w:val="009B5EC7"/>
    <w:rsid w:val="009B7807"/>
    <w:rsid w:val="009E66A0"/>
    <w:rsid w:val="00A3080B"/>
    <w:rsid w:val="00A87734"/>
    <w:rsid w:val="00A9654A"/>
    <w:rsid w:val="00AA27D5"/>
    <w:rsid w:val="00AA5AEF"/>
    <w:rsid w:val="00AA662E"/>
    <w:rsid w:val="00AB3C37"/>
    <w:rsid w:val="00B43C6E"/>
    <w:rsid w:val="00B43DD3"/>
    <w:rsid w:val="00B475AF"/>
    <w:rsid w:val="00B5703D"/>
    <w:rsid w:val="00B67924"/>
    <w:rsid w:val="00BA0E9A"/>
    <w:rsid w:val="00BA1444"/>
    <w:rsid w:val="00C07EE0"/>
    <w:rsid w:val="00CA0317"/>
    <w:rsid w:val="00CB7A83"/>
    <w:rsid w:val="00CD5BD1"/>
    <w:rsid w:val="00CF3C4D"/>
    <w:rsid w:val="00D12688"/>
    <w:rsid w:val="00D24B9F"/>
    <w:rsid w:val="00D274E0"/>
    <w:rsid w:val="00D45C08"/>
    <w:rsid w:val="00D628B4"/>
    <w:rsid w:val="00D7736D"/>
    <w:rsid w:val="00D81746"/>
    <w:rsid w:val="00D866FC"/>
    <w:rsid w:val="00DA0B62"/>
    <w:rsid w:val="00DC7F29"/>
    <w:rsid w:val="00E01876"/>
    <w:rsid w:val="00E12286"/>
    <w:rsid w:val="00E552E9"/>
    <w:rsid w:val="00E620B5"/>
    <w:rsid w:val="00E7342E"/>
    <w:rsid w:val="00EB795B"/>
    <w:rsid w:val="00EC3ECA"/>
    <w:rsid w:val="00EC7FC4"/>
    <w:rsid w:val="00ED0614"/>
    <w:rsid w:val="00ED425E"/>
    <w:rsid w:val="00ED4830"/>
    <w:rsid w:val="00ED5276"/>
    <w:rsid w:val="00F44658"/>
    <w:rsid w:val="00FD3636"/>
  </w:rsids>
  <m:mathPr>
    <m:mathFont m:val="Cambria Math"/>
    <m:brkBin m:val="before"/>
    <m:brkBinSub m:val="--"/>
    <m:smallFrac/>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4E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773"/>
  </w:style>
  <w:style w:type="paragraph" w:styleId="Piedepgina">
    <w:name w:val="footer"/>
    <w:basedOn w:val="Normal"/>
    <w:link w:val="PiedepginaCar"/>
    <w:uiPriority w:val="99"/>
    <w:unhideWhenUsed/>
    <w:rsid w:val="007D3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773"/>
  </w:style>
  <w:style w:type="paragraph" w:styleId="Textodeglobo">
    <w:name w:val="Balloon Text"/>
    <w:basedOn w:val="Normal"/>
    <w:link w:val="TextodegloboCar"/>
    <w:uiPriority w:val="99"/>
    <w:semiHidden/>
    <w:unhideWhenUsed/>
    <w:rsid w:val="00585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FB3"/>
    <w:rPr>
      <w:rFonts w:ascii="Tahoma" w:hAnsi="Tahoma" w:cs="Tahoma"/>
      <w:sz w:val="16"/>
      <w:szCs w:val="16"/>
    </w:rPr>
  </w:style>
  <w:style w:type="paragraph" w:customStyle="1" w:styleId="Standard">
    <w:name w:val="Standard"/>
    <w:qFormat/>
    <w:rsid w:val="000C7CE3"/>
    <w:pPr>
      <w:spacing w:after="0" w:line="240" w:lineRule="auto"/>
      <w:textAlignment w:val="baseline"/>
    </w:pPr>
    <w:rPr>
      <w:rFonts w:ascii="Liberation Serif" w:eastAsia="SimSun" w:hAnsi="Liberation Serif" w:cs="Lucida Sans"/>
      <w:color w:val="00000A"/>
      <w:sz w:val="24"/>
      <w:szCs w:val="24"/>
      <w:lang w:eastAsia="zh-CN" w:bidi="hi-IN"/>
    </w:rPr>
  </w:style>
  <w:style w:type="paragraph" w:styleId="NormalWeb">
    <w:name w:val="Normal (Web)"/>
    <w:basedOn w:val="Normal"/>
    <w:uiPriority w:val="99"/>
    <w:semiHidden/>
    <w:unhideWhenUsed/>
    <w:rsid w:val="00E552E9"/>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D37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D3773"/>
  </w:style>
  <w:style w:type="paragraph" w:styleId="Piedepgina">
    <w:name w:val="footer"/>
    <w:basedOn w:val="Normal"/>
    <w:link w:val="PiedepginaCar"/>
    <w:uiPriority w:val="99"/>
    <w:unhideWhenUsed/>
    <w:rsid w:val="007D37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D3773"/>
  </w:style>
  <w:style w:type="paragraph" w:styleId="Textodeglobo">
    <w:name w:val="Balloon Text"/>
    <w:basedOn w:val="Normal"/>
    <w:link w:val="TextodegloboCar"/>
    <w:uiPriority w:val="99"/>
    <w:semiHidden/>
    <w:unhideWhenUsed/>
    <w:rsid w:val="00585FB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85FB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9363188">
      <w:bodyDiv w:val="1"/>
      <w:marLeft w:val="0"/>
      <w:marRight w:val="0"/>
      <w:marTop w:val="0"/>
      <w:marBottom w:val="0"/>
      <w:divBdr>
        <w:top w:val="none" w:sz="0" w:space="0" w:color="auto"/>
        <w:left w:val="none" w:sz="0" w:space="0" w:color="auto"/>
        <w:bottom w:val="none" w:sz="0" w:space="0" w:color="auto"/>
        <w:right w:val="none" w:sz="0" w:space="0" w:color="auto"/>
      </w:divBdr>
    </w:div>
    <w:div w:id="1282347168">
      <w:bodyDiv w:val="1"/>
      <w:marLeft w:val="0"/>
      <w:marRight w:val="0"/>
      <w:marTop w:val="0"/>
      <w:marBottom w:val="0"/>
      <w:divBdr>
        <w:top w:val="none" w:sz="0" w:space="0" w:color="auto"/>
        <w:left w:val="none" w:sz="0" w:space="0" w:color="auto"/>
        <w:bottom w:val="none" w:sz="0" w:space="0" w:color="auto"/>
        <w:right w:val="none" w:sz="0" w:space="0" w:color="auto"/>
      </w:divBdr>
    </w:div>
    <w:div w:id="143277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6DA8D3-9B76-47D8-9D5E-180B3D25C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475</Words>
  <Characters>2616</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4</cp:revision>
  <cp:lastPrinted>2022-06-28T15:04:00Z</cp:lastPrinted>
  <dcterms:created xsi:type="dcterms:W3CDTF">2023-04-10T19:10:00Z</dcterms:created>
  <dcterms:modified xsi:type="dcterms:W3CDTF">2023-04-11T14:25:00Z</dcterms:modified>
</cp:coreProperties>
</file>