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A0" w:rsidRPr="000A3C55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0A3C55">
        <w:rPr>
          <w:rFonts w:ascii="Century Gothic" w:hAnsi="Century Gothic" w:cs="Times New Roman"/>
          <w:b/>
          <w:sz w:val="24"/>
          <w:szCs w:val="24"/>
        </w:rPr>
        <w:t>LA LEGISLATURA DE LA PROVINCIA DE ENTRE R</w:t>
      </w:r>
      <w:r w:rsidR="002E1B8E" w:rsidRPr="000A3C55">
        <w:rPr>
          <w:rFonts w:ascii="Century Gothic" w:hAnsi="Century Gothic" w:cs="Times New Roman"/>
          <w:b/>
          <w:sz w:val="24"/>
          <w:szCs w:val="24"/>
        </w:rPr>
        <w:t>Í</w:t>
      </w:r>
      <w:r w:rsidRPr="000A3C55">
        <w:rPr>
          <w:rFonts w:ascii="Century Gothic" w:hAnsi="Century Gothic" w:cs="Times New Roman"/>
          <w:b/>
          <w:sz w:val="24"/>
          <w:szCs w:val="24"/>
        </w:rPr>
        <w:t>OS SANCIONA</w:t>
      </w:r>
    </w:p>
    <w:p w:rsidR="009E66A0" w:rsidRPr="000A3C55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0A3C55">
        <w:rPr>
          <w:rFonts w:ascii="Century Gothic" w:hAnsi="Century Gothic" w:cs="Times New Roman"/>
          <w:b/>
          <w:sz w:val="24"/>
          <w:szCs w:val="24"/>
        </w:rPr>
        <w:t>CON FUERZA DE</w:t>
      </w:r>
    </w:p>
    <w:p w:rsidR="009E66A0" w:rsidRPr="000A3C55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0A3C55">
        <w:rPr>
          <w:rFonts w:ascii="Century Gothic" w:hAnsi="Century Gothic" w:cs="Times New Roman"/>
          <w:b/>
          <w:sz w:val="24"/>
          <w:szCs w:val="24"/>
        </w:rPr>
        <w:t>LEY:</w:t>
      </w:r>
    </w:p>
    <w:p w:rsidR="00037A45" w:rsidRPr="000A3C55" w:rsidRDefault="00203E31" w:rsidP="00A87734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A3C55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="00037A45" w:rsidRPr="000A3C5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7A45" w:rsidRPr="000A3C55">
        <w:rPr>
          <w:rFonts w:ascii="Century Gothic" w:hAnsi="Century Gothic" w:cs="Times New Roman"/>
          <w:sz w:val="24"/>
          <w:szCs w:val="24"/>
        </w:rPr>
        <w:t xml:space="preserve">Establecer los límites jurisdiccionales de la Comuna </w:t>
      </w:r>
      <w:r w:rsidR="000A3C55" w:rsidRPr="000A3C55">
        <w:rPr>
          <w:rFonts w:ascii="Century Gothic" w:hAnsi="Century Gothic" w:cs="Times New Roman"/>
          <w:sz w:val="24"/>
          <w:szCs w:val="24"/>
        </w:rPr>
        <w:t>Aldea Salto</w:t>
      </w:r>
      <w:r w:rsidR="00037A45" w:rsidRPr="000A3C55">
        <w:rPr>
          <w:rFonts w:ascii="Century Gothic" w:hAnsi="Century Gothic" w:cs="Times New Roman"/>
          <w:sz w:val="24"/>
          <w:szCs w:val="24"/>
        </w:rPr>
        <w:t xml:space="preserve">, Distrito </w:t>
      </w:r>
      <w:r w:rsidR="000A3C55" w:rsidRPr="000A3C55">
        <w:rPr>
          <w:rFonts w:ascii="Century Gothic" w:hAnsi="Century Gothic" w:cs="Times New Roman"/>
          <w:sz w:val="24"/>
          <w:szCs w:val="24"/>
        </w:rPr>
        <w:t>Palmar</w:t>
      </w:r>
      <w:r w:rsidR="00037A45" w:rsidRPr="000A3C55">
        <w:rPr>
          <w:rFonts w:ascii="Century Gothic" w:hAnsi="Century Gothic" w:cs="Times New Roman"/>
          <w:sz w:val="24"/>
          <w:szCs w:val="24"/>
        </w:rPr>
        <w:t xml:space="preserve">, del Departamento </w:t>
      </w:r>
      <w:r w:rsidR="000A3C55" w:rsidRPr="000A3C55">
        <w:rPr>
          <w:rFonts w:ascii="Century Gothic" w:hAnsi="Century Gothic" w:cs="Times New Roman"/>
          <w:sz w:val="24"/>
          <w:szCs w:val="24"/>
        </w:rPr>
        <w:t xml:space="preserve">Diamante </w:t>
      </w:r>
      <w:r w:rsidR="00037A45" w:rsidRPr="000A3C55">
        <w:rPr>
          <w:rFonts w:ascii="Century Gothic" w:hAnsi="Century Gothic" w:cs="Times New Roman"/>
          <w:sz w:val="24"/>
          <w:szCs w:val="24"/>
        </w:rPr>
        <w:t>de acuerdo a los siguientes límites y linderos:</w:t>
      </w:r>
    </w:p>
    <w:p w:rsidR="000A3C55" w:rsidRPr="000A3C55" w:rsidRDefault="000A3C55" w:rsidP="000A3C55">
      <w:pPr>
        <w:pStyle w:val="NormalWeb"/>
        <w:spacing w:line="360" w:lineRule="auto"/>
        <w:jc w:val="both"/>
        <w:rPr>
          <w:rFonts w:ascii="Century Gothic" w:eastAsiaTheme="minorHAnsi" w:hAnsi="Century Gothic"/>
          <w:lang w:eastAsia="en-US"/>
        </w:rPr>
      </w:pPr>
      <w:r w:rsidRPr="000A3C55">
        <w:rPr>
          <w:rFonts w:ascii="Century Gothic" w:eastAsiaTheme="minorHAnsi" w:hAnsi="Century Gothic"/>
          <w:b/>
          <w:lang w:eastAsia="en-US"/>
        </w:rPr>
        <w:t>NORTE:</w:t>
      </w:r>
      <w:r w:rsidRPr="000A3C55">
        <w:rPr>
          <w:rFonts w:ascii="Century Gothic" w:eastAsiaTheme="minorHAnsi" w:hAnsi="Century Gothic"/>
          <w:lang w:eastAsia="en-US"/>
        </w:rPr>
        <w:t xml:space="preserve"> por cauce del Arroyo Salto, desde el vértice 1 (31°53'09.14"S; 60°33'56.59"O) hasta la desembocadura del Arroyo Otaño en el vértice 2 (31°53'23.32"S; 60°32'17.64"O), lindando con la Comuna de Colonia Ensayo (Dpto. Diamante). Desde este punto, por cauce del Arroyo Otaño hasta el vértice 3 (31°53'19.82"S; 60°31'57.02"O). Luego, por línea coincidente con límites parcelarios, desde el vértice 3 al rumbo S-80°10’-E de aproximadamente 1818 metros, hasta intersectar el límite Este de un camino público, en el vértice 4 (31°53'30.18"S; 60°30'48.93"O). Estos lindando con la Comuna de Tezanos Pinto (Dpto. Paraná).</w:t>
      </w:r>
    </w:p>
    <w:p w:rsidR="000A3C55" w:rsidRPr="000A3C55" w:rsidRDefault="000A3C55" w:rsidP="000A3C55">
      <w:pPr>
        <w:pStyle w:val="NormalWeb"/>
        <w:spacing w:line="360" w:lineRule="auto"/>
        <w:jc w:val="both"/>
        <w:rPr>
          <w:rFonts w:ascii="Century Gothic" w:eastAsiaTheme="minorHAnsi" w:hAnsi="Century Gothic"/>
          <w:lang w:eastAsia="en-US"/>
        </w:rPr>
      </w:pPr>
      <w:r w:rsidRPr="000A3C55">
        <w:rPr>
          <w:rFonts w:ascii="Century Gothic" w:eastAsiaTheme="minorHAnsi" w:hAnsi="Century Gothic"/>
          <w:b/>
          <w:lang w:eastAsia="en-US"/>
        </w:rPr>
        <w:t>ESTE:</w:t>
      </w:r>
      <w:r w:rsidRPr="000A3C55">
        <w:rPr>
          <w:rFonts w:ascii="Century Gothic" w:eastAsiaTheme="minorHAnsi" w:hAnsi="Century Gothic"/>
          <w:lang w:eastAsia="en-US"/>
        </w:rPr>
        <w:t xml:space="preserve"> por límite Este de un camino público, mediante recta al rumbo S-04°48’-O de aproximadamente 3768 metros, siendo coincidente con el límite inter- departamental Diamante-Paraná, iniciando en vértice 4 hasta intersectar eje de camino público en el vértice 5 (31°55'32.02"S; 60°31'01.61"O). Luego, por eje de camino público desde el vértice 5 hasta el vértice 6 (31°55'32.61"S; 60°30'57.46"O). Todos lindando con la Comuna de Villa Fontana (Dpto. Paraná). Finalmente, desde el vértice 6, por recta coincidente con límite parcelario, al rumbo S-03°49’-O de aproximadamente 1377 metros, hasta intersectar límite Norte de camino público en el vértice 7 (31°56'17.22"S; 60°31'01.21"O); lindando con el Centro Rural de Población de Aldea Grapschental (Dpto. Diamante).</w:t>
      </w:r>
    </w:p>
    <w:p w:rsidR="000A3C55" w:rsidRPr="000A3C55" w:rsidRDefault="000A3C55" w:rsidP="000A3C55">
      <w:pPr>
        <w:pStyle w:val="NormalWeb"/>
        <w:spacing w:line="360" w:lineRule="auto"/>
        <w:jc w:val="both"/>
        <w:rPr>
          <w:rFonts w:ascii="Century Gothic" w:eastAsiaTheme="minorHAnsi" w:hAnsi="Century Gothic"/>
          <w:lang w:eastAsia="en-US"/>
        </w:rPr>
      </w:pPr>
      <w:r w:rsidRPr="000A3C55">
        <w:rPr>
          <w:rFonts w:ascii="Century Gothic" w:eastAsiaTheme="minorHAnsi" w:hAnsi="Century Gothic"/>
          <w:b/>
          <w:lang w:eastAsia="en-US"/>
        </w:rPr>
        <w:lastRenderedPageBreak/>
        <w:t>SUR:</w:t>
      </w:r>
      <w:r w:rsidRPr="000A3C55">
        <w:rPr>
          <w:rFonts w:ascii="Century Gothic" w:eastAsiaTheme="minorHAnsi" w:hAnsi="Century Gothic"/>
          <w:lang w:eastAsia="en-US"/>
        </w:rPr>
        <w:t xml:space="preserve"> por límite Norte de camino público, desde el vértice 7 hasta intersección con eje de camino público en vértice 8 (31°56'04.19"S; 60°32'06.09"O), lindando con el Centro Rural de Población de Aldea Grapschental (Dpto. Diamante). Luego, por eje de caminos públicos desde el vértice 8, pasando por vértice 9 (31°55'57.94"S; 60°32'06.02"O) hasta intersectar el vértice 10 (31°55'58.10"S; 60°33'56.81"O), lindando con la Comuna de Aldea Spatzenkutter (Dpto. Diamante).</w:t>
      </w:r>
    </w:p>
    <w:p w:rsidR="000A3C55" w:rsidRPr="000A3C55" w:rsidRDefault="000A3C55" w:rsidP="000A3C55">
      <w:pPr>
        <w:pStyle w:val="NormalWeb"/>
        <w:spacing w:line="360" w:lineRule="auto"/>
        <w:jc w:val="both"/>
        <w:rPr>
          <w:rFonts w:ascii="Century Gothic" w:eastAsiaTheme="minorHAnsi" w:hAnsi="Century Gothic"/>
          <w:lang w:eastAsia="en-US"/>
        </w:rPr>
      </w:pPr>
      <w:r w:rsidRPr="000A3C55">
        <w:rPr>
          <w:rFonts w:ascii="Century Gothic" w:eastAsiaTheme="minorHAnsi" w:hAnsi="Century Gothic"/>
          <w:b/>
          <w:lang w:eastAsia="en-US"/>
        </w:rPr>
        <w:t>OESTE:</w:t>
      </w:r>
      <w:r w:rsidRPr="000A3C55">
        <w:rPr>
          <w:rFonts w:ascii="Century Gothic" w:eastAsiaTheme="minorHAnsi" w:hAnsi="Century Gothic"/>
          <w:lang w:eastAsia="en-US"/>
        </w:rPr>
        <w:t xml:space="preserve"> por eje de camino público, desde el vértice 10 hasta el vértice 11 (31°55'26.61"S; 60°33'56.80"O), lindando con la Comuna de Aldea Spatzenkutter (Dpto. Diamante); y luego, continúa por eje de este camino desde el vértice 11 hasta el vértice 1, lindando con el Municipio de Aldea Brasilera (Dpto. Diamante).</w:t>
      </w:r>
    </w:p>
    <w:p w:rsidR="009E66A0" w:rsidRPr="000A3C55" w:rsidRDefault="00D24B9F" w:rsidP="00E552E9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A3C55">
        <w:rPr>
          <w:rFonts w:ascii="Century Gothic" w:hAnsi="Century Gothic" w:cs="Times New Roman"/>
          <w:b/>
          <w:sz w:val="24"/>
          <w:szCs w:val="24"/>
          <w:u w:val="single"/>
        </w:rPr>
        <w:t>ART</w:t>
      </w:r>
      <w:r w:rsidR="00EB795B" w:rsidRPr="000A3C55">
        <w:rPr>
          <w:rFonts w:ascii="Century Gothic" w:hAnsi="Century Gothic" w:cs="Times New Roman"/>
          <w:b/>
          <w:sz w:val="24"/>
          <w:szCs w:val="24"/>
          <w:u w:val="single"/>
        </w:rPr>
        <w:t>Í</w:t>
      </w:r>
      <w:r w:rsidRPr="000A3C55">
        <w:rPr>
          <w:rFonts w:ascii="Century Gothic" w:hAnsi="Century Gothic" w:cs="Times New Roman"/>
          <w:b/>
          <w:sz w:val="24"/>
          <w:szCs w:val="24"/>
          <w:u w:val="single"/>
        </w:rPr>
        <w:t>CULO 2°.-</w:t>
      </w:r>
      <w:r w:rsidR="00037A45" w:rsidRPr="000A3C55">
        <w:rPr>
          <w:rFonts w:ascii="Century Gothic" w:hAnsi="Century Gothic" w:cs="Times New Roman"/>
          <w:sz w:val="24"/>
          <w:szCs w:val="24"/>
        </w:rPr>
        <w:t xml:space="preserve"> </w:t>
      </w:r>
      <w:r w:rsidR="00203E31" w:rsidRPr="000A3C55">
        <w:rPr>
          <w:rFonts w:ascii="Century Gothic" w:hAnsi="Century Gothic" w:cs="Times New Roman"/>
          <w:sz w:val="24"/>
          <w:szCs w:val="24"/>
        </w:rPr>
        <w:t>C</w:t>
      </w:r>
      <w:r w:rsidR="00737A40" w:rsidRPr="000A3C55">
        <w:rPr>
          <w:rFonts w:ascii="Century Gothic" w:hAnsi="Century Gothic" w:cs="Times New Roman"/>
          <w:sz w:val="24"/>
          <w:szCs w:val="24"/>
        </w:rPr>
        <w:t>omuníquese,</w:t>
      </w:r>
      <w:r w:rsidR="00203E31" w:rsidRPr="000A3C55">
        <w:rPr>
          <w:rFonts w:ascii="Century Gothic" w:hAnsi="Century Gothic" w:cs="Times New Roman"/>
          <w:sz w:val="24"/>
          <w:szCs w:val="24"/>
        </w:rPr>
        <w:t xml:space="preserve"> etcétera.-</w:t>
      </w:r>
    </w:p>
    <w:p w:rsidR="009E66A0" w:rsidRPr="000A3C55" w:rsidRDefault="009E66A0" w:rsidP="00E552E9">
      <w:pPr>
        <w:spacing w:line="360" w:lineRule="auto"/>
        <w:rPr>
          <w:rFonts w:ascii="Century Gothic" w:hAnsi="Century Gothic" w:cs="Times New Roman"/>
          <w:color w:val="FF0000"/>
          <w:sz w:val="24"/>
          <w:szCs w:val="24"/>
        </w:rPr>
      </w:pPr>
    </w:p>
    <w:sectPr w:rsidR="009E66A0" w:rsidRPr="000A3C55" w:rsidSect="00037A45">
      <w:headerReference w:type="default" r:id="rId7"/>
      <w:pgSz w:w="11907" w:h="16840" w:code="9"/>
      <w:pgMar w:top="2836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888" w:rsidRDefault="00E00888" w:rsidP="007D3773">
      <w:pPr>
        <w:spacing w:after="0" w:line="240" w:lineRule="auto"/>
      </w:pPr>
      <w:r>
        <w:separator/>
      </w:r>
    </w:p>
  </w:endnote>
  <w:endnote w:type="continuationSeparator" w:id="1">
    <w:p w:rsidR="00E00888" w:rsidRDefault="00E00888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888" w:rsidRDefault="00E00888" w:rsidP="007D3773">
      <w:pPr>
        <w:spacing w:after="0" w:line="240" w:lineRule="auto"/>
      </w:pPr>
      <w:r>
        <w:separator/>
      </w:r>
    </w:p>
  </w:footnote>
  <w:footnote w:type="continuationSeparator" w:id="1">
    <w:p w:rsidR="00E00888" w:rsidRDefault="00E00888" w:rsidP="007D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E9" w:rsidRPr="00FF077C" w:rsidRDefault="00E552E9" w:rsidP="00E552E9">
    <w:pPr>
      <w:pStyle w:val="Encabezado"/>
      <w:ind w:right="-108"/>
      <w:jc w:val="right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i/>
        <w:sz w:val="18"/>
        <w:szCs w:val="18"/>
      </w:rPr>
      <w:t>“1983/2023 – 40 AÑOS DE DEMOCRACIA”</w:t>
    </w:r>
  </w:p>
  <w:p w:rsidR="00CF3C4D" w:rsidRPr="00CF3C4D" w:rsidRDefault="00CF3C4D" w:rsidP="00CF3C4D">
    <w:pPr>
      <w:pStyle w:val="Encabezado"/>
      <w:tabs>
        <w:tab w:val="clear" w:pos="4419"/>
        <w:tab w:val="clear" w:pos="8838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0B5"/>
    <w:rsid w:val="000030E4"/>
    <w:rsid w:val="00037A45"/>
    <w:rsid w:val="000A3C55"/>
    <w:rsid w:val="000C7CE3"/>
    <w:rsid w:val="000F238C"/>
    <w:rsid w:val="001056D8"/>
    <w:rsid w:val="001653AE"/>
    <w:rsid w:val="001748E3"/>
    <w:rsid w:val="001A1BA7"/>
    <w:rsid w:val="001C374D"/>
    <w:rsid w:val="001C5C64"/>
    <w:rsid w:val="00203E31"/>
    <w:rsid w:val="00214421"/>
    <w:rsid w:val="002544DF"/>
    <w:rsid w:val="002562DB"/>
    <w:rsid w:val="002D0599"/>
    <w:rsid w:val="002D2560"/>
    <w:rsid w:val="002E1B8E"/>
    <w:rsid w:val="003136FD"/>
    <w:rsid w:val="00317A60"/>
    <w:rsid w:val="00347105"/>
    <w:rsid w:val="00352FED"/>
    <w:rsid w:val="003E46AE"/>
    <w:rsid w:val="0046730A"/>
    <w:rsid w:val="00476DCC"/>
    <w:rsid w:val="004D3082"/>
    <w:rsid w:val="0050072E"/>
    <w:rsid w:val="00502803"/>
    <w:rsid w:val="00512E11"/>
    <w:rsid w:val="00516255"/>
    <w:rsid w:val="005856D0"/>
    <w:rsid w:val="00585FB3"/>
    <w:rsid w:val="005D03F1"/>
    <w:rsid w:val="005F38AB"/>
    <w:rsid w:val="00605031"/>
    <w:rsid w:val="00613D9C"/>
    <w:rsid w:val="0062301F"/>
    <w:rsid w:val="00663CF4"/>
    <w:rsid w:val="00671C45"/>
    <w:rsid w:val="0069386E"/>
    <w:rsid w:val="006B3329"/>
    <w:rsid w:val="00737A40"/>
    <w:rsid w:val="00743171"/>
    <w:rsid w:val="00762764"/>
    <w:rsid w:val="00781733"/>
    <w:rsid w:val="007827A3"/>
    <w:rsid w:val="00791BAC"/>
    <w:rsid w:val="007B134C"/>
    <w:rsid w:val="007B539D"/>
    <w:rsid w:val="007D3773"/>
    <w:rsid w:val="007D72E6"/>
    <w:rsid w:val="007E6B28"/>
    <w:rsid w:val="007F1798"/>
    <w:rsid w:val="00802C5B"/>
    <w:rsid w:val="0084044A"/>
    <w:rsid w:val="0084719C"/>
    <w:rsid w:val="00880407"/>
    <w:rsid w:val="008C6860"/>
    <w:rsid w:val="009047E8"/>
    <w:rsid w:val="009060A9"/>
    <w:rsid w:val="00997061"/>
    <w:rsid w:val="009A0514"/>
    <w:rsid w:val="009B5EC7"/>
    <w:rsid w:val="009B7807"/>
    <w:rsid w:val="009E66A0"/>
    <w:rsid w:val="00A3080B"/>
    <w:rsid w:val="00A87734"/>
    <w:rsid w:val="00A9654A"/>
    <w:rsid w:val="00AA27D5"/>
    <w:rsid w:val="00AA5AEF"/>
    <w:rsid w:val="00AA662E"/>
    <w:rsid w:val="00AB3C37"/>
    <w:rsid w:val="00B43C6E"/>
    <w:rsid w:val="00B43DD3"/>
    <w:rsid w:val="00B475AF"/>
    <w:rsid w:val="00B5703D"/>
    <w:rsid w:val="00B67924"/>
    <w:rsid w:val="00BA1444"/>
    <w:rsid w:val="00C07EE0"/>
    <w:rsid w:val="00CA0317"/>
    <w:rsid w:val="00CB7A83"/>
    <w:rsid w:val="00CD5BD1"/>
    <w:rsid w:val="00CE750F"/>
    <w:rsid w:val="00CF3C4D"/>
    <w:rsid w:val="00D12688"/>
    <w:rsid w:val="00D24B9F"/>
    <w:rsid w:val="00D274E0"/>
    <w:rsid w:val="00D45C08"/>
    <w:rsid w:val="00D628B4"/>
    <w:rsid w:val="00D7736D"/>
    <w:rsid w:val="00D81746"/>
    <w:rsid w:val="00D866FC"/>
    <w:rsid w:val="00DA0B62"/>
    <w:rsid w:val="00DC7F29"/>
    <w:rsid w:val="00E00888"/>
    <w:rsid w:val="00E01876"/>
    <w:rsid w:val="00E12286"/>
    <w:rsid w:val="00E552E9"/>
    <w:rsid w:val="00E620B5"/>
    <w:rsid w:val="00E7342E"/>
    <w:rsid w:val="00EB795B"/>
    <w:rsid w:val="00EC3ECA"/>
    <w:rsid w:val="00EC7FC4"/>
    <w:rsid w:val="00ED0614"/>
    <w:rsid w:val="00ED425E"/>
    <w:rsid w:val="00ED4830"/>
    <w:rsid w:val="00ED5276"/>
    <w:rsid w:val="00F4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0C7CE3"/>
    <w:pPr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E5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A8D3-9B76-47D8-9D5E-180B3D25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2023-04-12T14:04:00Z</cp:lastPrinted>
  <dcterms:created xsi:type="dcterms:W3CDTF">2023-04-12T14:04:00Z</dcterms:created>
  <dcterms:modified xsi:type="dcterms:W3CDTF">2023-04-12T14:04:00Z</dcterms:modified>
</cp:coreProperties>
</file>