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DF" w:rsidRDefault="00264ADF" w:rsidP="00C8690F">
      <w:pPr>
        <w:shd w:val="clear" w:color="auto" w:fill="FFFFFF"/>
        <w:spacing w:after="160" w:line="36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HONORABLE SENADO: </w:t>
      </w:r>
    </w:p>
    <w:p w:rsidR="00C8690F" w:rsidRPr="00C8690F" w:rsidRDefault="00264ADF" w:rsidP="00C8690F">
      <w:pPr>
        <w:shd w:val="clear" w:color="auto" w:fill="FFFFFF"/>
        <w:spacing w:after="160" w:line="360" w:lineRule="auto"/>
        <w:contextualSpacing/>
        <w:jc w:val="both"/>
        <w:rPr>
          <w:rFonts w:ascii="Times New Roman" w:hAnsi="Times New Roman"/>
          <w:sz w:val="24"/>
          <w:szCs w:val="24"/>
        </w:rPr>
      </w:pPr>
      <w:r>
        <w:rPr>
          <w:rFonts w:ascii="Times New Roman" w:eastAsiaTheme="minorHAnsi" w:hAnsi="Times New Roman"/>
          <w:sz w:val="24"/>
          <w:szCs w:val="24"/>
        </w:rPr>
        <w:t xml:space="preserv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00C8690F" w:rsidRPr="00C8690F">
        <w:rPr>
          <w:rFonts w:ascii="Times New Roman" w:eastAsiaTheme="minorHAnsi" w:hAnsi="Times New Roman"/>
          <w:sz w:val="24"/>
          <w:szCs w:val="24"/>
        </w:rPr>
        <w:t xml:space="preserve">Vuestra </w:t>
      </w:r>
      <w:r w:rsidR="00C8690F" w:rsidRPr="00C8690F">
        <w:rPr>
          <w:rFonts w:ascii="Times New Roman" w:eastAsiaTheme="minorHAnsi" w:hAnsi="Times New Roman"/>
          <w:b/>
          <w:sz w:val="24"/>
          <w:szCs w:val="24"/>
        </w:rPr>
        <w:t>Comisión de Asuntos Constitucionales y Acuerdos</w:t>
      </w:r>
      <w:r w:rsidR="00C8690F" w:rsidRPr="00C8690F">
        <w:rPr>
          <w:rFonts w:ascii="Times New Roman" w:eastAsiaTheme="minorHAnsi" w:hAnsi="Times New Roman"/>
          <w:sz w:val="24"/>
          <w:szCs w:val="24"/>
        </w:rPr>
        <w:t xml:space="preserve">, ha considerado el expediente N° </w:t>
      </w:r>
      <w:r w:rsidR="00C8690F" w:rsidRPr="00264ADF">
        <w:rPr>
          <w:rFonts w:ascii="Times New Roman" w:eastAsiaTheme="minorHAnsi" w:hAnsi="Times New Roman"/>
          <w:b/>
          <w:sz w:val="24"/>
          <w:szCs w:val="24"/>
        </w:rPr>
        <w:t>13.104</w:t>
      </w:r>
      <w:r w:rsidR="00C8690F" w:rsidRPr="00C8690F">
        <w:rPr>
          <w:rFonts w:ascii="Times New Roman" w:eastAsiaTheme="minorHAnsi" w:hAnsi="Times New Roman"/>
          <w:sz w:val="24"/>
          <w:szCs w:val="24"/>
        </w:rPr>
        <w:t xml:space="preserve">, autoría del </w:t>
      </w:r>
      <w:r w:rsidR="00C8690F">
        <w:rPr>
          <w:rFonts w:ascii="Times New Roman" w:eastAsiaTheme="minorHAnsi" w:hAnsi="Times New Roman"/>
          <w:sz w:val="24"/>
          <w:szCs w:val="24"/>
        </w:rPr>
        <w:t>Poder Ejecutivo</w:t>
      </w:r>
      <w:r w:rsidR="00C8690F" w:rsidRPr="00C8690F">
        <w:rPr>
          <w:rFonts w:ascii="Times New Roman" w:eastAsiaTheme="minorHAnsi" w:hAnsi="Times New Roman"/>
          <w:sz w:val="24"/>
          <w:szCs w:val="24"/>
        </w:rPr>
        <w:t xml:space="preserve">, por el cual se declara de utilidad pública y sujeto a </w:t>
      </w:r>
      <w:bookmarkStart w:id="0" w:name="_GoBack"/>
      <w:bookmarkEnd w:id="0"/>
      <w:r w:rsidR="00C8690F" w:rsidRPr="00C8690F">
        <w:rPr>
          <w:rFonts w:ascii="Times New Roman" w:eastAsiaTheme="minorHAnsi" w:hAnsi="Times New Roman"/>
          <w:sz w:val="24"/>
          <w:szCs w:val="24"/>
        </w:rPr>
        <w:t xml:space="preserve">expropiación inmuebles </w:t>
      </w:r>
      <w:r w:rsidR="00C8690F">
        <w:rPr>
          <w:rFonts w:ascii="Times New Roman" w:eastAsiaTheme="minorHAnsi" w:hAnsi="Times New Roman"/>
          <w:sz w:val="24"/>
          <w:szCs w:val="24"/>
        </w:rPr>
        <w:t>afectados por la obra “Acceso a El Ocaso desde Autovía 14”</w:t>
      </w:r>
      <w:r w:rsidR="00C8690F" w:rsidRPr="00C8690F">
        <w:rPr>
          <w:rFonts w:ascii="Times New Roman" w:hAnsi="Times New Roman"/>
          <w:sz w:val="24"/>
          <w:szCs w:val="24"/>
        </w:rPr>
        <w:t xml:space="preserve">, </w:t>
      </w:r>
      <w:r w:rsidR="00C8690F" w:rsidRPr="00C8690F">
        <w:rPr>
          <w:rFonts w:ascii="Times New Roman" w:eastAsiaTheme="minorHAnsi" w:hAnsi="Times New Roman"/>
          <w:sz w:val="24"/>
          <w:szCs w:val="24"/>
        </w:rPr>
        <w:t xml:space="preserve">cuyo texto fuera aprobado en reunión de Comisión realizada el día </w:t>
      </w:r>
      <w:r w:rsidR="00C8690F">
        <w:rPr>
          <w:rFonts w:ascii="Times New Roman" w:eastAsiaTheme="minorHAnsi" w:hAnsi="Times New Roman"/>
          <w:sz w:val="24"/>
          <w:szCs w:val="24"/>
        </w:rPr>
        <w:t>1° de Marzo de 2023</w:t>
      </w:r>
      <w:r w:rsidR="00C8690F" w:rsidRPr="00C8690F">
        <w:rPr>
          <w:rFonts w:ascii="Times New Roman" w:eastAsiaTheme="minorHAnsi" w:hAnsi="Times New Roman"/>
          <w:sz w:val="24"/>
          <w:szCs w:val="24"/>
        </w:rPr>
        <w:t xml:space="preserve">, en la modalidad establecida por la Resolución Nº 026 HCS -141º Período Legislativo, contando con el asentimiento de los integrantes de las mismas; a saber: Senadores </w:t>
      </w:r>
      <w:proofErr w:type="spellStart"/>
      <w:r w:rsidR="00C8690F">
        <w:rPr>
          <w:rFonts w:ascii="Times New Roman" w:eastAsiaTheme="minorHAnsi" w:hAnsi="Times New Roman"/>
          <w:sz w:val="24"/>
          <w:szCs w:val="24"/>
        </w:rPr>
        <w:t>Amavet</w:t>
      </w:r>
      <w:proofErr w:type="spellEnd"/>
      <w:r w:rsidR="00C8690F">
        <w:rPr>
          <w:rFonts w:ascii="Times New Roman" w:eastAsiaTheme="minorHAnsi" w:hAnsi="Times New Roman"/>
          <w:sz w:val="24"/>
          <w:szCs w:val="24"/>
        </w:rPr>
        <w:t xml:space="preserve">, Gay, Miranda, </w:t>
      </w:r>
      <w:proofErr w:type="spellStart"/>
      <w:r w:rsidR="00C8690F">
        <w:rPr>
          <w:rFonts w:ascii="Times New Roman" w:eastAsiaTheme="minorHAnsi" w:hAnsi="Times New Roman"/>
          <w:sz w:val="24"/>
          <w:szCs w:val="24"/>
        </w:rPr>
        <w:t>Genre</w:t>
      </w:r>
      <w:proofErr w:type="spellEnd"/>
      <w:r w:rsidR="00C8690F">
        <w:rPr>
          <w:rFonts w:ascii="Times New Roman" w:eastAsiaTheme="minorHAnsi" w:hAnsi="Times New Roman"/>
          <w:sz w:val="24"/>
          <w:szCs w:val="24"/>
        </w:rPr>
        <w:t xml:space="preserve"> </w:t>
      </w:r>
      <w:proofErr w:type="spellStart"/>
      <w:r w:rsidR="00C8690F">
        <w:rPr>
          <w:rFonts w:ascii="Times New Roman" w:eastAsiaTheme="minorHAnsi" w:hAnsi="Times New Roman"/>
          <w:sz w:val="24"/>
          <w:szCs w:val="24"/>
        </w:rPr>
        <w:t>Bert</w:t>
      </w:r>
      <w:proofErr w:type="spellEnd"/>
      <w:r w:rsidR="00C8690F">
        <w:rPr>
          <w:rFonts w:ascii="Times New Roman" w:eastAsiaTheme="minorHAnsi" w:hAnsi="Times New Roman"/>
          <w:sz w:val="24"/>
          <w:szCs w:val="24"/>
        </w:rPr>
        <w:t xml:space="preserve">, </w:t>
      </w:r>
      <w:proofErr w:type="spellStart"/>
      <w:r w:rsidR="00C8690F">
        <w:rPr>
          <w:rFonts w:ascii="Times New Roman" w:eastAsiaTheme="minorHAnsi" w:hAnsi="Times New Roman"/>
          <w:sz w:val="24"/>
          <w:szCs w:val="24"/>
        </w:rPr>
        <w:t>Berthet</w:t>
      </w:r>
      <w:proofErr w:type="spellEnd"/>
      <w:r w:rsidR="00C8690F">
        <w:rPr>
          <w:rFonts w:ascii="Times New Roman" w:eastAsiaTheme="minorHAnsi" w:hAnsi="Times New Roman"/>
          <w:sz w:val="24"/>
          <w:szCs w:val="24"/>
        </w:rPr>
        <w:t xml:space="preserve">, </w:t>
      </w:r>
      <w:proofErr w:type="spellStart"/>
      <w:r w:rsidR="00C8690F">
        <w:rPr>
          <w:rFonts w:ascii="Times New Roman" w:eastAsiaTheme="minorHAnsi" w:hAnsi="Times New Roman"/>
          <w:sz w:val="24"/>
          <w:szCs w:val="24"/>
        </w:rPr>
        <w:t>Bagnat</w:t>
      </w:r>
      <w:proofErr w:type="spellEnd"/>
      <w:r w:rsidR="00C8690F">
        <w:rPr>
          <w:rFonts w:ascii="Times New Roman" w:eastAsiaTheme="minorHAnsi" w:hAnsi="Times New Roman"/>
          <w:sz w:val="24"/>
          <w:szCs w:val="24"/>
        </w:rPr>
        <w:t xml:space="preserve"> y </w:t>
      </w:r>
      <w:proofErr w:type="spellStart"/>
      <w:r w:rsidR="00C8690F">
        <w:rPr>
          <w:rFonts w:ascii="Times New Roman" w:eastAsiaTheme="minorHAnsi" w:hAnsi="Times New Roman"/>
          <w:sz w:val="24"/>
          <w:szCs w:val="24"/>
        </w:rPr>
        <w:t>Dal</w:t>
      </w:r>
      <w:proofErr w:type="spellEnd"/>
      <w:r w:rsidR="00C8690F">
        <w:rPr>
          <w:rFonts w:ascii="Times New Roman" w:eastAsiaTheme="minorHAnsi" w:hAnsi="Times New Roman"/>
          <w:sz w:val="24"/>
          <w:szCs w:val="24"/>
        </w:rPr>
        <w:t xml:space="preserve"> </w:t>
      </w:r>
      <w:proofErr w:type="spellStart"/>
      <w:r w:rsidR="00C8690F">
        <w:rPr>
          <w:rFonts w:ascii="Times New Roman" w:eastAsiaTheme="minorHAnsi" w:hAnsi="Times New Roman"/>
          <w:sz w:val="24"/>
          <w:szCs w:val="24"/>
        </w:rPr>
        <w:t>Molín</w:t>
      </w:r>
      <w:proofErr w:type="spellEnd"/>
      <w:r w:rsidR="00C8690F" w:rsidRPr="00C8690F">
        <w:rPr>
          <w:rFonts w:ascii="Times New Roman" w:eastAsiaTheme="minorHAnsi" w:hAnsi="Times New Roman"/>
          <w:sz w:val="24"/>
          <w:szCs w:val="24"/>
        </w:rPr>
        <w:t xml:space="preserve"> El Secretario Adjunto de Comisiones, Dr. Néstor </w:t>
      </w:r>
      <w:proofErr w:type="spellStart"/>
      <w:r w:rsidR="00C8690F" w:rsidRPr="00C8690F">
        <w:rPr>
          <w:rFonts w:ascii="Times New Roman" w:eastAsiaTheme="minorHAnsi" w:hAnsi="Times New Roman"/>
          <w:sz w:val="24"/>
          <w:szCs w:val="24"/>
        </w:rPr>
        <w:t>Ferrutti</w:t>
      </w:r>
      <w:proofErr w:type="spellEnd"/>
      <w:r w:rsidR="00C8690F" w:rsidRPr="00C8690F">
        <w:rPr>
          <w:rFonts w:ascii="Times New Roman" w:eastAsiaTheme="minorHAnsi" w:hAnsi="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siguientes términos. </w:t>
      </w:r>
    </w:p>
    <w:p w:rsidR="00C8690F" w:rsidRPr="00C8690F" w:rsidRDefault="00C8690F" w:rsidP="00C8690F">
      <w:pPr>
        <w:spacing w:line="288" w:lineRule="auto"/>
        <w:jc w:val="center"/>
        <w:rPr>
          <w:rFonts w:ascii="Times New Roman" w:hAnsi="Times New Roman"/>
          <w:b/>
          <w:sz w:val="24"/>
          <w:szCs w:val="24"/>
        </w:rPr>
      </w:pPr>
    </w:p>
    <w:p w:rsidR="00C8690F" w:rsidRPr="00C8690F" w:rsidRDefault="00C8690F" w:rsidP="00C8690F">
      <w:pPr>
        <w:spacing w:line="288" w:lineRule="auto"/>
        <w:jc w:val="center"/>
        <w:rPr>
          <w:rFonts w:ascii="Times New Roman" w:hAnsi="Times New Roman"/>
          <w:b/>
          <w:sz w:val="24"/>
          <w:szCs w:val="24"/>
        </w:rPr>
      </w:pPr>
    </w:p>
    <w:p w:rsidR="00C8690F" w:rsidRPr="00C8690F" w:rsidRDefault="00C8690F" w:rsidP="00C8690F">
      <w:pPr>
        <w:spacing w:line="288" w:lineRule="auto"/>
        <w:jc w:val="center"/>
        <w:rPr>
          <w:rFonts w:ascii="Times New Roman" w:hAnsi="Times New Roman"/>
          <w:b/>
          <w:sz w:val="24"/>
          <w:szCs w:val="24"/>
        </w:rPr>
      </w:pPr>
    </w:p>
    <w:p w:rsidR="00C8690F" w:rsidRPr="00C8690F" w:rsidRDefault="00C8690F" w:rsidP="00C8690F">
      <w:pPr>
        <w:spacing w:line="288" w:lineRule="auto"/>
        <w:jc w:val="center"/>
        <w:rPr>
          <w:rFonts w:ascii="Times New Roman" w:hAnsi="Times New Roman"/>
          <w:b/>
          <w:sz w:val="24"/>
          <w:szCs w:val="24"/>
        </w:rPr>
      </w:pPr>
      <w:r w:rsidRPr="00C8690F">
        <w:rPr>
          <w:rFonts w:ascii="Times New Roman" w:hAnsi="Times New Roman"/>
          <w:b/>
          <w:sz w:val="24"/>
          <w:szCs w:val="24"/>
        </w:rPr>
        <w:t>LA LEGISLATURA DE LA PROVINCIA DE ENTRE RIOS</w:t>
      </w:r>
    </w:p>
    <w:p w:rsidR="00C8690F" w:rsidRPr="00C8690F" w:rsidRDefault="00C8690F" w:rsidP="00C8690F">
      <w:pPr>
        <w:spacing w:line="288" w:lineRule="auto"/>
        <w:jc w:val="center"/>
        <w:rPr>
          <w:rFonts w:ascii="Times New Roman" w:hAnsi="Times New Roman"/>
          <w:b/>
          <w:sz w:val="24"/>
          <w:szCs w:val="24"/>
        </w:rPr>
      </w:pPr>
      <w:r w:rsidRPr="00C8690F">
        <w:rPr>
          <w:rFonts w:ascii="Times New Roman" w:hAnsi="Times New Roman"/>
          <w:b/>
          <w:sz w:val="24"/>
          <w:szCs w:val="24"/>
        </w:rPr>
        <w:t>SANCIONA CON FUERZA DE</w:t>
      </w:r>
    </w:p>
    <w:p w:rsidR="00C8690F" w:rsidRPr="00C8690F" w:rsidRDefault="00C8690F" w:rsidP="00C8690F">
      <w:pPr>
        <w:spacing w:line="288" w:lineRule="auto"/>
        <w:jc w:val="both"/>
        <w:rPr>
          <w:rFonts w:ascii="Times New Roman" w:hAnsi="Times New Roman"/>
          <w:b/>
          <w:sz w:val="24"/>
          <w:szCs w:val="24"/>
        </w:rPr>
      </w:pPr>
    </w:p>
    <w:p w:rsidR="00C8690F" w:rsidRPr="00C8690F" w:rsidRDefault="00C8690F" w:rsidP="00C8690F">
      <w:pPr>
        <w:spacing w:line="288" w:lineRule="auto"/>
        <w:jc w:val="center"/>
        <w:rPr>
          <w:rFonts w:ascii="Times New Roman" w:hAnsi="Times New Roman"/>
          <w:b/>
          <w:sz w:val="24"/>
          <w:szCs w:val="24"/>
        </w:rPr>
      </w:pPr>
      <w:r w:rsidRPr="00C8690F">
        <w:rPr>
          <w:rFonts w:ascii="Times New Roman" w:hAnsi="Times New Roman"/>
          <w:b/>
          <w:sz w:val="24"/>
          <w:szCs w:val="24"/>
        </w:rPr>
        <w:t>L E Y:</w:t>
      </w:r>
    </w:p>
    <w:p w:rsidR="00C8690F" w:rsidRPr="00C8690F" w:rsidRDefault="00C8690F" w:rsidP="00C8690F">
      <w:pPr>
        <w:spacing w:line="288" w:lineRule="auto"/>
        <w:jc w:val="both"/>
        <w:rPr>
          <w:rFonts w:ascii="Times New Roman" w:hAnsi="Times New Roman"/>
          <w:sz w:val="24"/>
          <w:szCs w:val="24"/>
        </w:rPr>
      </w:pPr>
    </w:p>
    <w:p w:rsidR="00C8690F" w:rsidRPr="00C8690F" w:rsidRDefault="00C8690F" w:rsidP="00C8690F">
      <w:pPr>
        <w:spacing w:line="288" w:lineRule="auto"/>
        <w:jc w:val="both"/>
        <w:rPr>
          <w:rFonts w:ascii="Times New Roman" w:hAnsi="Times New Roman"/>
          <w:b/>
          <w:sz w:val="24"/>
          <w:szCs w:val="24"/>
          <w:u w:val="single"/>
        </w:rPr>
      </w:pPr>
    </w:p>
    <w:p w:rsidR="00C8690F" w:rsidRPr="00C8690F" w:rsidRDefault="00C8690F" w:rsidP="00C8690F">
      <w:pPr>
        <w:spacing w:line="288" w:lineRule="auto"/>
        <w:jc w:val="both"/>
        <w:rPr>
          <w:rFonts w:ascii="Times New Roman" w:hAnsi="Times New Roman"/>
          <w:sz w:val="24"/>
          <w:szCs w:val="24"/>
        </w:rPr>
      </w:pPr>
      <w:r w:rsidRPr="00C8690F">
        <w:rPr>
          <w:rFonts w:ascii="Times New Roman" w:hAnsi="Times New Roman"/>
          <w:b/>
          <w:sz w:val="24"/>
          <w:szCs w:val="24"/>
          <w:u w:val="single"/>
        </w:rPr>
        <w:t>ARTICULO 1º</w:t>
      </w:r>
      <w:r>
        <w:rPr>
          <w:rFonts w:ascii="Times New Roman" w:hAnsi="Times New Roman"/>
          <w:b/>
          <w:sz w:val="24"/>
          <w:szCs w:val="24"/>
        </w:rPr>
        <w:t>:</w:t>
      </w:r>
      <w:r w:rsidRPr="00C8690F">
        <w:rPr>
          <w:rFonts w:ascii="Times New Roman" w:hAnsi="Times New Roman"/>
          <w:sz w:val="24"/>
          <w:szCs w:val="24"/>
        </w:rPr>
        <w:t xml:space="preserve"> Declár</w:t>
      </w:r>
      <w:r>
        <w:rPr>
          <w:rFonts w:ascii="Times New Roman" w:hAnsi="Times New Roman"/>
          <w:sz w:val="24"/>
          <w:szCs w:val="24"/>
        </w:rPr>
        <w:t>e</w:t>
      </w:r>
      <w:r w:rsidRPr="00C8690F">
        <w:rPr>
          <w:rFonts w:ascii="Times New Roman" w:hAnsi="Times New Roman"/>
          <w:sz w:val="24"/>
          <w:szCs w:val="24"/>
        </w:rPr>
        <w:t>nse de Utilidad Pública y sujetos a expropiación los inmuebles afectados por la  OBRA “ACCESO A “EL OCASO” DESDE AUTOVIA 14”, conforme el detalle consignado en el Anexo I que forma parte integrante de la presente.-</w:t>
      </w:r>
    </w:p>
    <w:p w:rsidR="00C8690F" w:rsidRPr="00C8690F" w:rsidRDefault="00C8690F" w:rsidP="00C8690F">
      <w:pPr>
        <w:spacing w:line="288" w:lineRule="auto"/>
        <w:jc w:val="both"/>
        <w:rPr>
          <w:rFonts w:ascii="Times New Roman" w:hAnsi="Times New Roman"/>
          <w:sz w:val="24"/>
          <w:szCs w:val="24"/>
        </w:rPr>
      </w:pPr>
      <w:r w:rsidRPr="00C8690F">
        <w:rPr>
          <w:rFonts w:ascii="Times New Roman" w:hAnsi="Times New Roman"/>
          <w:sz w:val="24"/>
          <w:szCs w:val="24"/>
        </w:rPr>
        <w:t xml:space="preserve"> </w:t>
      </w:r>
    </w:p>
    <w:p w:rsidR="00C8690F" w:rsidRPr="00C8690F" w:rsidRDefault="00C8690F" w:rsidP="00C8690F">
      <w:pPr>
        <w:spacing w:line="288" w:lineRule="auto"/>
        <w:jc w:val="both"/>
        <w:rPr>
          <w:rFonts w:ascii="Times New Roman" w:hAnsi="Times New Roman"/>
          <w:sz w:val="24"/>
          <w:szCs w:val="24"/>
        </w:rPr>
      </w:pPr>
      <w:r w:rsidRPr="00C8690F">
        <w:rPr>
          <w:rFonts w:ascii="Times New Roman" w:hAnsi="Times New Roman"/>
          <w:b/>
          <w:sz w:val="24"/>
          <w:szCs w:val="24"/>
          <w:u w:val="single"/>
        </w:rPr>
        <w:t>ARTÍCULO 2º</w:t>
      </w:r>
      <w:r>
        <w:rPr>
          <w:rFonts w:ascii="Times New Roman" w:hAnsi="Times New Roman"/>
          <w:b/>
          <w:sz w:val="24"/>
          <w:szCs w:val="24"/>
        </w:rPr>
        <w:t>:</w:t>
      </w:r>
      <w:r w:rsidRPr="00C8690F">
        <w:rPr>
          <w:rFonts w:ascii="Times New Roman" w:hAnsi="Times New Roman"/>
          <w:b/>
          <w:sz w:val="24"/>
          <w:szCs w:val="24"/>
        </w:rPr>
        <w:t xml:space="preserve"> </w:t>
      </w:r>
      <w:r w:rsidRPr="00C8690F">
        <w:rPr>
          <w:rFonts w:ascii="Times New Roman" w:hAnsi="Times New Roman"/>
          <w:sz w:val="24"/>
          <w:szCs w:val="24"/>
        </w:rPr>
        <w:t>La Dirección Provincial de Vialidad propiciará las adecuaciones presupuestarias para atender los gastos que demanden las expropiaciones según la estimación de costos que en cada caso efectúe el Consejo de Tasaciones de la Provincia de Entre Ríos.-</w:t>
      </w:r>
    </w:p>
    <w:p w:rsidR="00C8690F" w:rsidRPr="00C8690F" w:rsidRDefault="00C8690F" w:rsidP="00C8690F">
      <w:pPr>
        <w:spacing w:line="288" w:lineRule="auto"/>
        <w:jc w:val="both"/>
        <w:rPr>
          <w:rFonts w:ascii="Times New Roman" w:hAnsi="Times New Roman"/>
          <w:sz w:val="24"/>
          <w:szCs w:val="24"/>
        </w:rPr>
      </w:pPr>
    </w:p>
    <w:p w:rsidR="00C8690F" w:rsidRPr="00C8690F" w:rsidRDefault="00C8690F" w:rsidP="00C8690F">
      <w:pPr>
        <w:spacing w:line="288" w:lineRule="auto"/>
        <w:jc w:val="both"/>
        <w:rPr>
          <w:rFonts w:ascii="Times New Roman" w:hAnsi="Times New Roman"/>
          <w:sz w:val="24"/>
          <w:szCs w:val="24"/>
        </w:rPr>
      </w:pPr>
      <w:r w:rsidRPr="00C8690F">
        <w:rPr>
          <w:rFonts w:ascii="Times New Roman" w:hAnsi="Times New Roman"/>
          <w:b/>
          <w:sz w:val="24"/>
          <w:szCs w:val="24"/>
          <w:u w:val="single"/>
        </w:rPr>
        <w:t>ARTÍCULO 3º</w:t>
      </w:r>
      <w:proofErr w:type="gramStart"/>
      <w:r>
        <w:rPr>
          <w:rFonts w:ascii="Times New Roman" w:hAnsi="Times New Roman"/>
          <w:b/>
          <w:sz w:val="24"/>
          <w:szCs w:val="24"/>
        </w:rPr>
        <w:t>:</w:t>
      </w:r>
      <w:r w:rsidRPr="00C8690F">
        <w:rPr>
          <w:rFonts w:ascii="Times New Roman" w:hAnsi="Times New Roman"/>
          <w:b/>
          <w:sz w:val="24"/>
          <w:szCs w:val="24"/>
        </w:rPr>
        <w:t xml:space="preserve"> </w:t>
      </w:r>
      <w:r w:rsidRPr="00C8690F">
        <w:rPr>
          <w:rFonts w:ascii="Times New Roman" w:hAnsi="Times New Roman"/>
          <w:sz w:val="24"/>
          <w:szCs w:val="24"/>
        </w:rPr>
        <w:t xml:space="preserve"> </w:t>
      </w:r>
      <w:r>
        <w:rPr>
          <w:rFonts w:ascii="Times New Roman" w:hAnsi="Times New Roman"/>
          <w:sz w:val="24"/>
          <w:szCs w:val="24"/>
        </w:rPr>
        <w:t>De</w:t>
      </w:r>
      <w:proofErr w:type="gramEnd"/>
      <w:r>
        <w:rPr>
          <w:rFonts w:ascii="Times New Roman" w:hAnsi="Times New Roman"/>
          <w:sz w:val="24"/>
          <w:szCs w:val="24"/>
        </w:rPr>
        <w:t xml:space="preserve"> forma</w:t>
      </w:r>
      <w:r w:rsidRPr="00C8690F">
        <w:rPr>
          <w:rFonts w:ascii="Times New Roman" w:hAnsi="Times New Roman"/>
          <w:sz w:val="24"/>
          <w:szCs w:val="24"/>
        </w:rPr>
        <w:t>.-</w:t>
      </w:r>
    </w:p>
    <w:p w:rsidR="00C8690F" w:rsidRPr="00C8690F" w:rsidRDefault="00C8690F" w:rsidP="00C8690F">
      <w:pPr>
        <w:spacing w:line="288" w:lineRule="auto"/>
        <w:jc w:val="both"/>
        <w:rPr>
          <w:rFonts w:ascii="Times New Roman" w:hAnsi="Times New Roman"/>
          <w:sz w:val="24"/>
          <w:szCs w:val="24"/>
        </w:rPr>
      </w:pPr>
    </w:p>
    <w:p w:rsidR="00C8690F" w:rsidRPr="00C8690F" w:rsidRDefault="00C8690F" w:rsidP="00C8690F">
      <w:pPr>
        <w:spacing w:line="288" w:lineRule="auto"/>
        <w:jc w:val="both"/>
        <w:rPr>
          <w:rFonts w:ascii="Times New Roman" w:hAnsi="Times New Roman"/>
          <w:sz w:val="24"/>
          <w:szCs w:val="24"/>
        </w:rPr>
      </w:pPr>
    </w:p>
    <w:p w:rsidR="00C8690F" w:rsidRPr="00C8690F" w:rsidRDefault="00C8690F" w:rsidP="00C8690F">
      <w:pPr>
        <w:spacing w:line="288" w:lineRule="auto"/>
        <w:jc w:val="both"/>
        <w:rPr>
          <w:rFonts w:ascii="Times New Roman" w:hAnsi="Times New Roman"/>
          <w:sz w:val="24"/>
          <w:szCs w:val="24"/>
        </w:rPr>
      </w:pPr>
    </w:p>
    <w:p w:rsidR="00C8690F" w:rsidRDefault="00C8690F" w:rsidP="00C8690F">
      <w:pPr>
        <w:tabs>
          <w:tab w:val="left" w:pos="708"/>
          <w:tab w:val="center" w:pos="4419"/>
          <w:tab w:val="right" w:pos="8838"/>
        </w:tabs>
        <w:spacing w:line="360" w:lineRule="auto"/>
        <w:contextualSpacing/>
        <w:jc w:val="both"/>
        <w:rPr>
          <w:rFonts w:ascii="Times New Roman" w:hAnsi="Times New Roman"/>
          <w:sz w:val="24"/>
          <w:szCs w:val="24"/>
        </w:rPr>
      </w:pPr>
    </w:p>
    <w:p w:rsidR="00C8690F" w:rsidRPr="00C8690F" w:rsidRDefault="00C8690F" w:rsidP="00C8690F">
      <w:pPr>
        <w:shd w:val="clear" w:color="auto" w:fill="FFFFFF"/>
        <w:spacing w:line="540" w:lineRule="atLeast"/>
        <w:jc w:val="right"/>
        <w:outlineLvl w:val="1"/>
        <w:rPr>
          <w:rFonts w:ascii="Times New Roman" w:hAnsi="Times New Roman"/>
          <w:b/>
          <w:bCs/>
          <w:color w:val="000000"/>
          <w:sz w:val="24"/>
          <w:szCs w:val="24"/>
          <w:lang w:eastAsia="es-AR"/>
        </w:rPr>
      </w:pPr>
      <w:r w:rsidRPr="00C8690F">
        <w:rPr>
          <w:rFonts w:ascii="Times New Roman" w:hAnsi="Times New Roman"/>
          <w:b/>
          <w:bCs/>
          <w:color w:val="000000"/>
          <w:sz w:val="24"/>
          <w:szCs w:val="24"/>
          <w:bdr w:val="none" w:sz="0" w:space="0" w:color="auto" w:frame="1"/>
          <w:lang w:eastAsia="es-AR"/>
        </w:rPr>
        <w:t xml:space="preserve">PARANÁ, </w:t>
      </w:r>
      <w:r>
        <w:rPr>
          <w:rFonts w:ascii="Times New Roman" w:hAnsi="Times New Roman"/>
          <w:b/>
          <w:bCs/>
          <w:color w:val="000000"/>
          <w:sz w:val="24"/>
          <w:szCs w:val="24"/>
          <w:bdr w:val="none" w:sz="0" w:space="0" w:color="auto" w:frame="1"/>
          <w:lang w:eastAsia="es-AR"/>
        </w:rPr>
        <w:t>1° de Marzo de 2023</w:t>
      </w:r>
      <w:r w:rsidRPr="00C8690F">
        <w:rPr>
          <w:rFonts w:ascii="Times New Roman" w:hAnsi="Times New Roman"/>
          <w:color w:val="000000"/>
          <w:sz w:val="24"/>
          <w:szCs w:val="24"/>
          <w:bdr w:val="none" w:sz="0" w:space="0" w:color="auto" w:frame="1"/>
          <w:lang w:eastAsia="es-AR"/>
        </w:rPr>
        <w:t xml:space="preserve">. </w:t>
      </w:r>
      <w:r w:rsidRPr="00C8690F">
        <w:rPr>
          <w:rFonts w:ascii="Times New Roman" w:hAnsi="Times New Roman"/>
          <w:b/>
          <w:color w:val="000000"/>
          <w:sz w:val="24"/>
          <w:szCs w:val="24"/>
          <w:bdr w:val="none" w:sz="0" w:space="0" w:color="auto" w:frame="1"/>
          <w:lang w:eastAsia="es-AR"/>
        </w:rPr>
        <w:t>Sala de Comisiones.-</w:t>
      </w:r>
      <w:r w:rsidRPr="00C8690F">
        <w:rPr>
          <w:rFonts w:ascii="Times New Roman" w:hAnsi="Times New Roman"/>
          <w:b/>
          <w:bCs/>
          <w:color w:val="000000"/>
          <w:sz w:val="24"/>
          <w:szCs w:val="24"/>
          <w:bdr w:val="none" w:sz="0" w:space="0" w:color="auto" w:frame="1"/>
          <w:lang w:val="es-ES" w:eastAsia="es-AR"/>
        </w:rPr>
        <w:t> </w:t>
      </w:r>
    </w:p>
    <w:p w:rsidR="00C8690F" w:rsidRDefault="00C8690F" w:rsidP="00C8690F">
      <w:pPr>
        <w:tabs>
          <w:tab w:val="left" w:pos="708"/>
          <w:tab w:val="center" w:pos="4419"/>
          <w:tab w:val="right" w:pos="8838"/>
        </w:tabs>
        <w:spacing w:line="360" w:lineRule="auto"/>
        <w:contextualSpacing/>
        <w:jc w:val="both"/>
        <w:rPr>
          <w:rFonts w:ascii="Times New Roman" w:hAnsi="Times New Roman"/>
          <w:sz w:val="24"/>
          <w:szCs w:val="24"/>
        </w:rPr>
      </w:pPr>
    </w:p>
    <w:p w:rsidR="00C8690F" w:rsidRPr="00C8690F" w:rsidRDefault="00C8690F" w:rsidP="00C8690F">
      <w:pPr>
        <w:tabs>
          <w:tab w:val="left" w:pos="708"/>
          <w:tab w:val="center" w:pos="4419"/>
          <w:tab w:val="right" w:pos="8838"/>
        </w:tabs>
        <w:spacing w:line="360" w:lineRule="auto"/>
        <w:contextualSpacing/>
        <w:jc w:val="both"/>
        <w:rPr>
          <w:rFonts w:ascii="Times New Roman" w:hAnsi="Times New Roman"/>
          <w:sz w:val="24"/>
          <w:szCs w:val="24"/>
        </w:rPr>
      </w:pPr>
      <w:r w:rsidRPr="00C8690F">
        <w:rPr>
          <w:rFonts w:ascii="Times New Roman" w:hAnsi="Times New Roman"/>
          <w:sz w:val="24"/>
          <w:szCs w:val="24"/>
        </w:rPr>
        <w:t xml:space="preserve">En mi carácter de Secretario Adjunto de Comisiones de la Honorable Cámara de Senadores de la Provincia de Entre Ríos, DOY FE que el texto normativo que antecede ha sido consensuado y aprobado en reunión de comisión de Asuntos Constitucionales y Acuerdos realizada el día </w:t>
      </w:r>
      <w:r>
        <w:rPr>
          <w:rFonts w:ascii="Times New Roman" w:hAnsi="Times New Roman"/>
          <w:sz w:val="24"/>
          <w:szCs w:val="24"/>
        </w:rPr>
        <w:t>1° de Marzo de 2023</w:t>
      </w:r>
      <w:r w:rsidRPr="00C8690F">
        <w:rPr>
          <w:rFonts w:ascii="Times New Roman" w:hAnsi="Times New Roman"/>
          <w:sz w:val="24"/>
          <w:szCs w:val="24"/>
        </w:rPr>
        <w:t xml:space="preserve">, constando con el asentimiento de los integrantes de la misma, Senadora Miranda y Senadores </w:t>
      </w:r>
      <w:proofErr w:type="spellStart"/>
      <w:r w:rsidRPr="00C8690F">
        <w:rPr>
          <w:rFonts w:ascii="Times New Roman" w:hAnsi="Times New Roman"/>
          <w:sz w:val="24"/>
          <w:szCs w:val="24"/>
        </w:rPr>
        <w:t>Amavet</w:t>
      </w:r>
      <w:proofErr w:type="spellEnd"/>
      <w:r w:rsidRPr="00C8690F">
        <w:rPr>
          <w:rFonts w:ascii="Times New Roman" w:hAnsi="Times New Roman"/>
          <w:sz w:val="24"/>
          <w:szCs w:val="24"/>
        </w:rPr>
        <w:t xml:space="preserve">, Gay, </w:t>
      </w:r>
      <w:proofErr w:type="spellStart"/>
      <w:r w:rsidRPr="00C8690F">
        <w:rPr>
          <w:rFonts w:ascii="Times New Roman" w:hAnsi="Times New Roman"/>
          <w:sz w:val="24"/>
          <w:szCs w:val="24"/>
        </w:rPr>
        <w:t>Berthet</w:t>
      </w:r>
      <w:proofErr w:type="spellEnd"/>
      <w:r w:rsidRPr="00C8690F">
        <w:rPr>
          <w:rFonts w:ascii="Times New Roman" w:hAnsi="Times New Roman"/>
          <w:sz w:val="24"/>
          <w:szCs w:val="24"/>
        </w:rPr>
        <w:t xml:space="preserve">, </w:t>
      </w:r>
      <w:proofErr w:type="spellStart"/>
      <w:r>
        <w:rPr>
          <w:rFonts w:ascii="Times New Roman" w:hAnsi="Times New Roman"/>
          <w:sz w:val="24"/>
          <w:szCs w:val="24"/>
        </w:rPr>
        <w:t>Genre</w:t>
      </w:r>
      <w:proofErr w:type="spellEnd"/>
      <w:r>
        <w:rPr>
          <w:rFonts w:ascii="Times New Roman" w:hAnsi="Times New Roman"/>
          <w:sz w:val="24"/>
          <w:szCs w:val="24"/>
        </w:rPr>
        <w:t xml:space="preserve"> </w:t>
      </w:r>
      <w:proofErr w:type="spellStart"/>
      <w:r>
        <w:rPr>
          <w:rFonts w:ascii="Times New Roman" w:hAnsi="Times New Roman"/>
          <w:sz w:val="24"/>
          <w:szCs w:val="24"/>
        </w:rPr>
        <w:t>Bert</w:t>
      </w:r>
      <w:proofErr w:type="spellEnd"/>
      <w:r>
        <w:rPr>
          <w:rFonts w:ascii="Times New Roman" w:hAnsi="Times New Roman"/>
          <w:sz w:val="24"/>
          <w:szCs w:val="24"/>
        </w:rPr>
        <w:t xml:space="preserve">, </w:t>
      </w:r>
      <w:proofErr w:type="spellStart"/>
      <w:r w:rsidRPr="00C8690F">
        <w:rPr>
          <w:rFonts w:ascii="Times New Roman" w:hAnsi="Times New Roman"/>
          <w:sz w:val="24"/>
          <w:szCs w:val="24"/>
        </w:rPr>
        <w:t>Bagnat</w:t>
      </w:r>
      <w:proofErr w:type="spellEnd"/>
      <w:r w:rsidRPr="00C8690F">
        <w:rPr>
          <w:rFonts w:ascii="Times New Roman" w:hAnsi="Times New Roman"/>
          <w:sz w:val="24"/>
          <w:szCs w:val="24"/>
        </w:rPr>
        <w:t xml:space="preserve"> y </w:t>
      </w:r>
      <w:proofErr w:type="spellStart"/>
      <w:r w:rsidRPr="00C8690F">
        <w:rPr>
          <w:rFonts w:ascii="Times New Roman" w:hAnsi="Times New Roman"/>
          <w:sz w:val="24"/>
          <w:szCs w:val="24"/>
        </w:rPr>
        <w:t>Dal</w:t>
      </w:r>
      <w:proofErr w:type="spellEnd"/>
      <w:r w:rsidRPr="00C8690F">
        <w:rPr>
          <w:rFonts w:ascii="Times New Roman" w:hAnsi="Times New Roman"/>
          <w:sz w:val="24"/>
          <w:szCs w:val="24"/>
        </w:rPr>
        <w:t xml:space="preserve"> </w:t>
      </w:r>
      <w:proofErr w:type="spellStart"/>
      <w:r w:rsidRPr="00C8690F">
        <w:rPr>
          <w:rFonts w:ascii="Times New Roman" w:hAnsi="Times New Roman"/>
          <w:sz w:val="24"/>
          <w:szCs w:val="24"/>
        </w:rPr>
        <w:t>Molin</w:t>
      </w:r>
      <w:proofErr w:type="spellEnd"/>
      <w:r w:rsidRPr="00C8690F">
        <w:rPr>
          <w:rFonts w:ascii="Times New Roman" w:hAnsi="Times New Roman"/>
          <w:sz w:val="24"/>
          <w:szCs w:val="24"/>
        </w:rPr>
        <w:t>.-</w:t>
      </w:r>
    </w:p>
    <w:p w:rsidR="00C8690F" w:rsidRPr="00C8690F" w:rsidRDefault="00C8690F" w:rsidP="00C8690F">
      <w:pPr>
        <w:rPr>
          <w:rFonts w:ascii="Times New Roman" w:hAnsi="Times New Roman"/>
          <w:sz w:val="24"/>
          <w:szCs w:val="24"/>
        </w:rPr>
      </w:pPr>
    </w:p>
    <w:p w:rsidR="00C8690F" w:rsidRPr="00C8690F" w:rsidRDefault="00C8690F" w:rsidP="00C8690F">
      <w:pPr>
        <w:spacing w:line="288" w:lineRule="auto"/>
        <w:jc w:val="center"/>
        <w:rPr>
          <w:rFonts w:ascii="Times New Roman" w:hAnsi="Times New Roman"/>
          <w:b/>
          <w:kern w:val="16"/>
          <w:sz w:val="24"/>
          <w:szCs w:val="24"/>
        </w:rPr>
      </w:pPr>
      <w:r w:rsidRPr="00C8690F">
        <w:rPr>
          <w:rFonts w:ascii="Times New Roman" w:hAnsi="Times New Roman"/>
          <w:sz w:val="24"/>
          <w:szCs w:val="24"/>
        </w:rPr>
        <w:br w:type="page"/>
      </w:r>
      <w:r w:rsidRPr="00C8690F">
        <w:rPr>
          <w:rFonts w:ascii="Times New Roman" w:hAnsi="Times New Roman"/>
          <w:b/>
          <w:kern w:val="16"/>
          <w:sz w:val="24"/>
          <w:szCs w:val="24"/>
        </w:rPr>
        <w:lastRenderedPageBreak/>
        <w:t>ANEXO I</w:t>
      </w:r>
    </w:p>
    <w:p w:rsidR="00C8690F" w:rsidRPr="00C8690F" w:rsidRDefault="00C8690F" w:rsidP="00C8690F">
      <w:pPr>
        <w:pBdr>
          <w:bottom w:val="single" w:sz="6" w:space="1" w:color="auto"/>
        </w:pBdr>
        <w:spacing w:line="288" w:lineRule="auto"/>
        <w:jc w:val="center"/>
        <w:rPr>
          <w:rFonts w:ascii="Times New Roman" w:hAnsi="Times New Roman"/>
          <w:b/>
          <w:kern w:val="16"/>
          <w:sz w:val="24"/>
          <w:szCs w:val="24"/>
          <w:lang w:val="es-ES"/>
        </w:rPr>
      </w:pPr>
      <w:r w:rsidRPr="00C8690F">
        <w:rPr>
          <w:rFonts w:ascii="Times New Roman" w:hAnsi="Times New Roman"/>
          <w:b/>
          <w:kern w:val="16"/>
          <w:sz w:val="24"/>
          <w:szCs w:val="24"/>
          <w:lang w:val="es-ES"/>
        </w:rPr>
        <w:t>OBRA DE ACCESO A “EL OCASO” DESDE AUTOVIA 14</w:t>
      </w:r>
    </w:p>
    <w:p w:rsidR="00C8690F" w:rsidRPr="00C8690F" w:rsidRDefault="00C8690F" w:rsidP="00C8690F">
      <w:pPr>
        <w:spacing w:line="288" w:lineRule="auto"/>
        <w:ind w:left="2832" w:firstLine="3"/>
        <w:rPr>
          <w:rFonts w:ascii="Times New Roman" w:hAnsi="Times New Roman"/>
          <w:kern w:val="16"/>
          <w:sz w:val="24"/>
          <w:szCs w:val="24"/>
          <w:u w:val="single"/>
          <w:lang w:val="es-ES"/>
        </w:rPr>
      </w:pPr>
    </w:p>
    <w:p w:rsidR="00C8690F" w:rsidRPr="00C8690F" w:rsidRDefault="00C8690F" w:rsidP="00C8690F">
      <w:pPr>
        <w:spacing w:line="288" w:lineRule="auto"/>
        <w:jc w:val="both"/>
        <w:rPr>
          <w:rFonts w:ascii="Times New Roman" w:hAnsi="Times New Roman"/>
          <w:kern w:val="16"/>
          <w:sz w:val="24"/>
          <w:szCs w:val="24"/>
          <w:lang w:val="es-ES"/>
        </w:rPr>
      </w:pPr>
      <w:r w:rsidRPr="00C8690F">
        <w:rPr>
          <w:rFonts w:ascii="Times New Roman" w:hAnsi="Times New Roman"/>
          <w:kern w:val="16"/>
          <w:sz w:val="24"/>
          <w:szCs w:val="24"/>
          <w:lang w:val="es-ES"/>
        </w:rPr>
        <w:t>Los inmuebles a declarar de Utilidad Pública, con su ubicación correspondiente, son los siguientes:</w:t>
      </w:r>
    </w:p>
    <w:p w:rsidR="00C8690F" w:rsidRPr="00C8690F" w:rsidRDefault="00C8690F" w:rsidP="00C8690F">
      <w:pPr>
        <w:spacing w:before="120"/>
        <w:rPr>
          <w:rFonts w:ascii="Times New Roman" w:hAnsi="Times New Roman"/>
          <w:kern w:val="16"/>
          <w:sz w:val="24"/>
          <w:szCs w:val="24"/>
        </w:rPr>
      </w:pPr>
    </w:p>
    <w:tbl>
      <w:tblPr>
        <w:tblW w:w="5118" w:type="pct"/>
        <w:tblInd w:w="-114" w:type="dxa"/>
        <w:tblLayout w:type="fixed"/>
        <w:tblCellMar>
          <w:left w:w="70" w:type="dxa"/>
          <w:right w:w="70" w:type="dxa"/>
        </w:tblCellMar>
        <w:tblLook w:val="0000" w:firstRow="0" w:lastRow="0" w:firstColumn="0" w:lastColumn="0" w:noHBand="0" w:noVBand="0"/>
      </w:tblPr>
      <w:tblGrid>
        <w:gridCol w:w="9507"/>
      </w:tblGrid>
      <w:tr w:rsidR="00C8690F" w:rsidRPr="00C8690F" w:rsidTr="0031360C">
        <w:trPr>
          <w:trHeight w:val="545"/>
          <w:tblHeader/>
        </w:trPr>
        <w:tc>
          <w:tcPr>
            <w:tcW w:w="5000" w:type="pct"/>
            <w:tcBorders>
              <w:top w:val="single" w:sz="8" w:space="0" w:color="auto"/>
              <w:left w:val="single" w:sz="4" w:space="0" w:color="auto"/>
              <w:bottom w:val="single" w:sz="4" w:space="0" w:color="auto"/>
              <w:right w:val="single" w:sz="4" w:space="0" w:color="auto"/>
            </w:tcBorders>
            <w:shd w:val="clear" w:color="auto" w:fill="D9D9D9"/>
            <w:noWrap/>
            <w:tcMar>
              <w:top w:w="28" w:type="dxa"/>
              <w:left w:w="28" w:type="dxa"/>
              <w:bottom w:w="28" w:type="dxa"/>
              <w:right w:w="28" w:type="dxa"/>
            </w:tcMar>
            <w:vAlign w:val="center"/>
          </w:tcPr>
          <w:p w:rsidR="00C8690F" w:rsidRPr="00C8690F" w:rsidRDefault="00C8690F" w:rsidP="0031360C">
            <w:pPr>
              <w:spacing w:before="20" w:after="20"/>
              <w:jc w:val="center"/>
              <w:rPr>
                <w:rFonts w:ascii="Times New Roman" w:hAnsi="Times New Roman"/>
                <w:b/>
                <w:bCs/>
                <w:caps/>
                <w:spacing w:val="0"/>
                <w:sz w:val="24"/>
                <w:szCs w:val="24"/>
                <w:lang w:val="es-ES_tradnl" w:eastAsia="es-ES_tradnl"/>
              </w:rPr>
            </w:pPr>
            <w:r w:rsidRPr="00C8690F">
              <w:rPr>
                <w:rFonts w:ascii="Times New Roman" w:hAnsi="Times New Roman"/>
                <w:b/>
                <w:bCs/>
                <w:caps/>
                <w:spacing w:val="0"/>
                <w:sz w:val="24"/>
                <w:szCs w:val="24"/>
                <w:lang w:val="es-ES_tradnl" w:eastAsia="es-ES_tradnl"/>
              </w:rPr>
              <w:t>D e p a r t a m e n t o   G U A L E G U A Y C H U</w:t>
            </w:r>
          </w:p>
        </w:tc>
      </w:tr>
    </w:tbl>
    <w:p w:rsidR="00C8690F" w:rsidRPr="00C8690F" w:rsidRDefault="00C8690F" w:rsidP="00C8690F">
      <w:pPr>
        <w:rPr>
          <w:rFonts w:ascii="Times New Roman" w:hAnsi="Times New Roman"/>
          <w:kern w:val="16"/>
          <w:sz w:val="24"/>
          <w:szCs w:val="24"/>
        </w:rPr>
      </w:pP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030"/>
        <w:gridCol w:w="1201"/>
        <w:gridCol w:w="3803"/>
        <w:gridCol w:w="1333"/>
        <w:gridCol w:w="77"/>
        <w:gridCol w:w="453"/>
        <w:gridCol w:w="510"/>
      </w:tblGrid>
      <w:tr w:rsidR="00C8690F" w:rsidRPr="00C8690F" w:rsidTr="0031360C">
        <w:trPr>
          <w:trHeight w:val="255"/>
        </w:trPr>
        <w:tc>
          <w:tcPr>
            <w:tcW w:w="302" w:type="pct"/>
            <w:vMerge w:val="restart"/>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Nº</w:t>
            </w:r>
          </w:p>
        </w:tc>
        <w:tc>
          <w:tcPr>
            <w:tcW w:w="575" w:type="pct"/>
            <w:vMerge w:val="restart"/>
            <w:shd w:val="clear" w:color="auto" w:fill="auto"/>
            <w:noWrap/>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PLANO</w:t>
            </w:r>
          </w:p>
        </w:tc>
        <w:tc>
          <w:tcPr>
            <w:tcW w:w="671" w:type="pct"/>
            <w:vMerge w:val="restart"/>
            <w:shd w:val="clear" w:color="auto" w:fill="auto"/>
            <w:noWrap/>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PARTIDA</w:t>
            </w:r>
          </w:p>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PROV.</w:t>
            </w:r>
          </w:p>
        </w:tc>
        <w:tc>
          <w:tcPr>
            <w:tcW w:w="2125" w:type="pct"/>
            <w:vMerge w:val="restart"/>
            <w:shd w:val="clear" w:color="auto" w:fill="auto"/>
            <w:noWrap/>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PROPIETARIO – TITULAR</w:t>
            </w:r>
          </w:p>
        </w:tc>
        <w:tc>
          <w:tcPr>
            <w:tcW w:w="745" w:type="pct"/>
            <w:vMerge w:val="restart"/>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Fecha de Inscripción</w:t>
            </w:r>
          </w:p>
        </w:tc>
        <w:tc>
          <w:tcPr>
            <w:tcW w:w="581" w:type="pct"/>
            <w:gridSpan w:val="3"/>
            <w:shd w:val="clear" w:color="auto" w:fill="auto"/>
            <w:noWrap/>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r w:rsidRPr="00C8690F">
              <w:rPr>
                <w:rFonts w:ascii="Times New Roman" w:hAnsi="Times New Roman"/>
                <w:b/>
                <w:bCs/>
                <w:spacing w:val="0"/>
                <w:sz w:val="24"/>
                <w:szCs w:val="24"/>
                <w:lang w:val="es-ES_tradnl" w:eastAsia="es-ES_tradnl"/>
              </w:rPr>
              <w:t>Matrícula</w:t>
            </w:r>
          </w:p>
        </w:tc>
      </w:tr>
      <w:tr w:rsidR="00C8690F" w:rsidRPr="00C8690F" w:rsidTr="0031360C">
        <w:trPr>
          <w:trHeight w:val="270"/>
        </w:trPr>
        <w:tc>
          <w:tcPr>
            <w:tcW w:w="302" w:type="pct"/>
            <w:vMerge/>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
        </w:tc>
        <w:tc>
          <w:tcPr>
            <w:tcW w:w="575" w:type="pct"/>
            <w:vMerge/>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
        </w:tc>
        <w:tc>
          <w:tcPr>
            <w:tcW w:w="671" w:type="pct"/>
            <w:vMerge/>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
        </w:tc>
        <w:tc>
          <w:tcPr>
            <w:tcW w:w="2125" w:type="pct"/>
            <w:vMerge/>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
        </w:tc>
        <w:tc>
          <w:tcPr>
            <w:tcW w:w="745" w:type="pct"/>
            <w:vMerge/>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
        </w:tc>
        <w:tc>
          <w:tcPr>
            <w:tcW w:w="296" w:type="pct"/>
            <w:gridSpan w:val="2"/>
            <w:shd w:val="clear" w:color="auto" w:fill="auto"/>
            <w:noWrap/>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roofErr w:type="spellStart"/>
            <w:r w:rsidRPr="00C8690F">
              <w:rPr>
                <w:rFonts w:ascii="Times New Roman" w:hAnsi="Times New Roman"/>
                <w:b/>
                <w:bCs/>
                <w:spacing w:val="0"/>
                <w:sz w:val="24"/>
                <w:szCs w:val="24"/>
                <w:lang w:val="es-ES_tradnl" w:eastAsia="es-ES_tradnl"/>
              </w:rPr>
              <w:t>Tº</w:t>
            </w:r>
            <w:proofErr w:type="spellEnd"/>
          </w:p>
        </w:tc>
        <w:tc>
          <w:tcPr>
            <w:tcW w:w="285" w:type="pct"/>
            <w:shd w:val="clear" w:color="auto" w:fill="auto"/>
          </w:tcPr>
          <w:p w:rsidR="00C8690F" w:rsidRPr="00C8690F" w:rsidRDefault="00C8690F" w:rsidP="0031360C">
            <w:pPr>
              <w:spacing w:before="20" w:after="20"/>
              <w:jc w:val="center"/>
              <w:rPr>
                <w:rFonts w:ascii="Times New Roman" w:hAnsi="Times New Roman"/>
                <w:b/>
                <w:bCs/>
                <w:spacing w:val="0"/>
                <w:sz w:val="24"/>
                <w:szCs w:val="24"/>
                <w:lang w:val="es-ES_tradnl" w:eastAsia="es-ES_tradnl"/>
              </w:rPr>
            </w:pPr>
            <w:proofErr w:type="spellStart"/>
            <w:r w:rsidRPr="00C8690F">
              <w:rPr>
                <w:rFonts w:ascii="Times New Roman" w:hAnsi="Times New Roman"/>
                <w:b/>
                <w:bCs/>
                <w:spacing w:val="0"/>
                <w:sz w:val="24"/>
                <w:szCs w:val="24"/>
                <w:lang w:val="es-ES_tradnl" w:eastAsia="es-ES_tradnl"/>
              </w:rPr>
              <w:t>Fº</w:t>
            </w:r>
            <w:proofErr w:type="spellEnd"/>
          </w:p>
        </w:tc>
      </w:tr>
      <w:tr w:rsidR="00C8690F" w:rsidRPr="00C8690F" w:rsidTr="0031360C">
        <w:trPr>
          <w:trHeight w:val="454"/>
        </w:trPr>
        <w:tc>
          <w:tcPr>
            <w:tcW w:w="302" w:type="pct"/>
            <w:shd w:val="clear" w:color="auto" w:fill="auto"/>
          </w:tcPr>
          <w:p w:rsidR="00C8690F" w:rsidRPr="00C8690F" w:rsidRDefault="00C8690F" w:rsidP="0031360C">
            <w:pPr>
              <w:spacing w:before="20" w:after="20"/>
              <w:jc w:val="center"/>
              <w:rPr>
                <w:rFonts w:ascii="Times New Roman" w:hAnsi="Times New Roman"/>
                <w:spacing w:val="0"/>
                <w:sz w:val="24"/>
                <w:szCs w:val="24"/>
                <w:lang w:val="es-ES_tradnl" w:eastAsia="es-ES_tradnl"/>
              </w:rPr>
            </w:pPr>
            <w:r w:rsidRPr="00C8690F">
              <w:rPr>
                <w:rFonts w:ascii="Times New Roman" w:hAnsi="Times New Roman"/>
                <w:spacing w:val="0"/>
                <w:sz w:val="24"/>
                <w:szCs w:val="24"/>
                <w:lang w:val="es-ES_tradnl" w:eastAsia="es-ES_tradnl"/>
              </w:rPr>
              <w:t>1</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32.166</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37.411-3</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 xml:space="preserve">BALDASERRE - Celina Victoria // María Isabel // Mercedes Lucila - 1/3 </w:t>
            </w:r>
            <w:proofErr w:type="spellStart"/>
            <w:r w:rsidRPr="00C8690F">
              <w:rPr>
                <w:rFonts w:ascii="Times New Roman" w:hAnsi="Times New Roman"/>
                <w:kern w:val="16"/>
                <w:sz w:val="24"/>
                <w:szCs w:val="24"/>
              </w:rPr>
              <w:t>c.u</w:t>
            </w:r>
            <w:proofErr w:type="spellEnd"/>
            <w:r w:rsidRPr="00C8690F">
              <w:rPr>
                <w:rFonts w:ascii="Times New Roman" w:hAnsi="Times New Roman"/>
                <w:kern w:val="16"/>
                <w:sz w:val="24"/>
                <w:szCs w:val="24"/>
              </w:rPr>
              <w:t xml:space="preserve">. </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29/11/2013</w:t>
            </w:r>
          </w:p>
        </w:tc>
        <w:tc>
          <w:tcPr>
            <w:tcW w:w="581" w:type="pct"/>
            <w:gridSpan w:val="3"/>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1.650</w:t>
            </w:r>
          </w:p>
        </w:tc>
      </w:tr>
      <w:tr w:rsidR="00C8690F" w:rsidRPr="00C8690F" w:rsidTr="0031360C">
        <w:trPr>
          <w:trHeight w:val="454"/>
        </w:trPr>
        <w:tc>
          <w:tcPr>
            <w:tcW w:w="302" w:type="pct"/>
            <w:shd w:val="clear" w:color="auto" w:fill="auto"/>
          </w:tcPr>
          <w:p w:rsidR="00C8690F" w:rsidRPr="00C8690F" w:rsidRDefault="00C8690F" w:rsidP="0031360C">
            <w:pPr>
              <w:spacing w:before="20" w:after="20"/>
              <w:jc w:val="center"/>
              <w:rPr>
                <w:rFonts w:ascii="Times New Roman" w:hAnsi="Times New Roman"/>
                <w:spacing w:val="0"/>
                <w:sz w:val="24"/>
                <w:szCs w:val="24"/>
                <w:lang w:val="es-ES_tradnl" w:eastAsia="es-ES_tradnl"/>
              </w:rPr>
            </w:pPr>
            <w:r w:rsidRPr="00C8690F">
              <w:rPr>
                <w:rFonts w:ascii="Times New Roman" w:hAnsi="Times New Roman"/>
                <w:spacing w:val="0"/>
                <w:sz w:val="24"/>
                <w:szCs w:val="24"/>
                <w:lang w:val="es-ES_tradnl" w:eastAsia="es-ES_tradnl"/>
              </w:rPr>
              <w:t>2</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64.455</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37.259-7</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CAMPOSTRINI - Gustavo Roberto</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17/03/2000</w:t>
            </w:r>
          </w:p>
        </w:tc>
        <w:tc>
          <w:tcPr>
            <w:tcW w:w="581" w:type="pct"/>
            <w:gridSpan w:val="3"/>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9.359</w:t>
            </w:r>
          </w:p>
        </w:tc>
      </w:tr>
      <w:tr w:rsidR="00C8690F" w:rsidRPr="00C8690F" w:rsidTr="0031360C">
        <w:trPr>
          <w:trHeight w:val="454"/>
        </w:trPr>
        <w:tc>
          <w:tcPr>
            <w:tcW w:w="302" w:type="pct"/>
            <w:shd w:val="clear" w:color="auto" w:fill="auto"/>
          </w:tcPr>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r w:rsidRPr="00C8690F">
              <w:rPr>
                <w:rFonts w:ascii="Times New Roman" w:hAnsi="Times New Roman"/>
                <w:spacing w:val="0"/>
                <w:sz w:val="24"/>
                <w:szCs w:val="24"/>
                <w:lang w:val="es-ES_tradnl" w:eastAsia="es-ES_tradnl"/>
              </w:rPr>
              <w:t>3</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64.457</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141.790-9</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 xml:space="preserve">TRIPODI  de YSRRAELIT - María del Carmen 64,00 % // YSRRAELIT - Juan José // YSRRAELIT - María </w:t>
            </w:r>
            <w:proofErr w:type="spellStart"/>
            <w:r w:rsidRPr="00C8690F">
              <w:rPr>
                <w:rFonts w:ascii="Times New Roman" w:hAnsi="Times New Roman"/>
                <w:kern w:val="16"/>
                <w:sz w:val="24"/>
                <w:szCs w:val="24"/>
              </w:rPr>
              <w:t>Celica</w:t>
            </w:r>
            <w:proofErr w:type="spellEnd"/>
            <w:r w:rsidRPr="00C8690F">
              <w:rPr>
                <w:rFonts w:ascii="Times New Roman" w:hAnsi="Times New Roman"/>
                <w:kern w:val="16"/>
                <w:sz w:val="24"/>
                <w:szCs w:val="24"/>
              </w:rPr>
              <w:t xml:space="preserve"> // YSRRAELI - Julio Simón - 12,00 % c. u. </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16/05/2007</w:t>
            </w:r>
          </w:p>
        </w:tc>
        <w:tc>
          <w:tcPr>
            <w:tcW w:w="581" w:type="pct"/>
            <w:gridSpan w:val="3"/>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9.361</w:t>
            </w:r>
          </w:p>
        </w:tc>
      </w:tr>
      <w:tr w:rsidR="00C8690F" w:rsidRPr="00C8690F" w:rsidTr="0031360C">
        <w:trPr>
          <w:trHeight w:val="454"/>
        </w:trPr>
        <w:tc>
          <w:tcPr>
            <w:tcW w:w="302" w:type="pct"/>
            <w:shd w:val="clear" w:color="auto" w:fill="auto"/>
          </w:tcPr>
          <w:p w:rsidR="00C8690F" w:rsidRPr="00C8690F" w:rsidRDefault="00C8690F" w:rsidP="0031360C">
            <w:pPr>
              <w:spacing w:before="20" w:after="20"/>
              <w:jc w:val="center"/>
              <w:rPr>
                <w:rFonts w:ascii="Times New Roman" w:hAnsi="Times New Roman"/>
                <w:spacing w:val="0"/>
                <w:sz w:val="24"/>
                <w:szCs w:val="24"/>
                <w:lang w:val="es-ES_tradnl" w:eastAsia="es-ES_tradnl"/>
              </w:rPr>
            </w:pPr>
            <w:r w:rsidRPr="00C8690F">
              <w:rPr>
                <w:rFonts w:ascii="Times New Roman" w:hAnsi="Times New Roman"/>
                <w:spacing w:val="0"/>
                <w:sz w:val="24"/>
                <w:szCs w:val="24"/>
                <w:lang w:val="es-ES_tradnl" w:eastAsia="es-ES_tradnl"/>
              </w:rPr>
              <w:t>4</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29.659</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103.520-0</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TRIPODI - María del Carmen</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11/12/1973</w:t>
            </w:r>
          </w:p>
        </w:tc>
        <w:tc>
          <w:tcPr>
            <w:tcW w:w="581" w:type="pct"/>
            <w:gridSpan w:val="3"/>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854</w:t>
            </w:r>
          </w:p>
        </w:tc>
      </w:tr>
      <w:tr w:rsidR="00C8690F" w:rsidRPr="00C8690F" w:rsidTr="0031360C">
        <w:trPr>
          <w:trHeight w:val="454"/>
        </w:trPr>
        <w:tc>
          <w:tcPr>
            <w:tcW w:w="302" w:type="pct"/>
            <w:shd w:val="clear" w:color="auto" w:fill="auto"/>
          </w:tcPr>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p>
          <w:p w:rsidR="00C8690F" w:rsidRPr="00C8690F" w:rsidRDefault="00C8690F" w:rsidP="0031360C">
            <w:pPr>
              <w:spacing w:before="20" w:after="20"/>
              <w:jc w:val="center"/>
              <w:rPr>
                <w:rFonts w:ascii="Times New Roman" w:hAnsi="Times New Roman"/>
                <w:spacing w:val="0"/>
                <w:sz w:val="24"/>
                <w:szCs w:val="24"/>
                <w:lang w:val="es-ES_tradnl" w:eastAsia="es-ES_tradnl"/>
              </w:rPr>
            </w:pPr>
            <w:r w:rsidRPr="00C8690F">
              <w:rPr>
                <w:rFonts w:ascii="Times New Roman" w:hAnsi="Times New Roman"/>
                <w:spacing w:val="0"/>
                <w:sz w:val="24"/>
                <w:szCs w:val="24"/>
                <w:lang w:val="es-ES_tradnl" w:eastAsia="es-ES_tradnl"/>
              </w:rPr>
              <w:t>5</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78.203</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37.412-2</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 xml:space="preserve">SCHLOTTHAUER - Juan Alberto 6,25 %// Manuel 6,25 // Antonio Héctor 6,25 % // Horacio Samuel 6,25 % // Roberto Emilio 6,25  // Augusto Rodolfo 6,25 % // Fernando 6,25 % // Gloria Ester 6,25 % // María Elvira 5,55 % // Otilia Esther 5,55 % // Ricardo 5,55 % // Martín Reinaldo 5,55 % // Juan Hilario 5,55 % // </w:t>
            </w:r>
            <w:proofErr w:type="spellStart"/>
            <w:r w:rsidRPr="00C8690F">
              <w:rPr>
                <w:rFonts w:ascii="Times New Roman" w:hAnsi="Times New Roman"/>
                <w:kern w:val="16"/>
                <w:sz w:val="24"/>
                <w:szCs w:val="24"/>
              </w:rPr>
              <w:t>Dionicio</w:t>
            </w:r>
            <w:proofErr w:type="spellEnd"/>
            <w:r w:rsidRPr="00C8690F">
              <w:rPr>
                <w:rFonts w:ascii="Times New Roman" w:hAnsi="Times New Roman"/>
                <w:kern w:val="16"/>
                <w:sz w:val="24"/>
                <w:szCs w:val="24"/>
              </w:rPr>
              <w:t xml:space="preserve"> Teodoro 5,55 % // Daniel Ernesto 5,55 % // Berta Teresa 5,55 % </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11/08/1987 - 31/01/1996</w:t>
            </w:r>
          </w:p>
        </w:tc>
        <w:tc>
          <w:tcPr>
            <w:tcW w:w="581" w:type="pct"/>
            <w:gridSpan w:val="3"/>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7.247</w:t>
            </w:r>
          </w:p>
        </w:tc>
      </w:tr>
      <w:tr w:rsidR="00C8690F" w:rsidRPr="00C8690F" w:rsidTr="0031360C">
        <w:trPr>
          <w:trHeight w:val="454"/>
        </w:trPr>
        <w:tc>
          <w:tcPr>
            <w:tcW w:w="302" w:type="pct"/>
            <w:shd w:val="clear" w:color="auto" w:fill="auto"/>
          </w:tcPr>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6</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lastRenderedPageBreak/>
              <w:t>78.204</w:t>
            </w:r>
          </w:p>
        </w:tc>
        <w:tc>
          <w:tcPr>
            <w:tcW w:w="671"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160142-4</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 xml:space="preserve">SCHLOTTHAUER - Juan Alberto 6,25 %// Manuel 6,25 // Antonio Héctor 6,25 % // Horacio Samuel 6,25 % // </w:t>
            </w:r>
            <w:r w:rsidRPr="00C8690F">
              <w:rPr>
                <w:rFonts w:ascii="Times New Roman" w:hAnsi="Times New Roman"/>
                <w:kern w:val="16"/>
                <w:sz w:val="24"/>
                <w:szCs w:val="24"/>
              </w:rPr>
              <w:lastRenderedPageBreak/>
              <w:t xml:space="preserve">Roberto Emilio 6,25  // Augusto Rodolfo 6,25 % // Fernando 6,25 % // Gloria Ester 6,25 % // María Elvira 5,55 % // Otilia Esther 5,55 % // Ricardo 5,55 % // Martín Reinaldo 5,55 % // Juan Hilario 5,55 % // </w:t>
            </w:r>
            <w:proofErr w:type="spellStart"/>
            <w:r w:rsidRPr="00C8690F">
              <w:rPr>
                <w:rFonts w:ascii="Times New Roman" w:hAnsi="Times New Roman"/>
                <w:kern w:val="16"/>
                <w:sz w:val="24"/>
                <w:szCs w:val="24"/>
              </w:rPr>
              <w:t>Dionicio</w:t>
            </w:r>
            <w:proofErr w:type="spellEnd"/>
            <w:r w:rsidRPr="00C8690F">
              <w:rPr>
                <w:rFonts w:ascii="Times New Roman" w:hAnsi="Times New Roman"/>
                <w:kern w:val="16"/>
                <w:sz w:val="24"/>
                <w:szCs w:val="24"/>
              </w:rPr>
              <w:t xml:space="preserve"> Teodoro 5,55 % // Daniel Ernesto 5,55 % // Berta Teresa 5,55 % </w:t>
            </w:r>
          </w:p>
        </w:tc>
        <w:tc>
          <w:tcPr>
            <w:tcW w:w="74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lastRenderedPageBreak/>
              <w:t>11/08/1987 - 31/01/1996</w:t>
            </w:r>
          </w:p>
        </w:tc>
        <w:tc>
          <w:tcPr>
            <w:tcW w:w="581" w:type="pct"/>
            <w:gridSpan w:val="3"/>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7.247</w:t>
            </w:r>
          </w:p>
        </w:tc>
      </w:tr>
      <w:tr w:rsidR="00C8690F" w:rsidRPr="00C8690F" w:rsidTr="0031360C">
        <w:trPr>
          <w:trHeight w:val="454"/>
        </w:trPr>
        <w:tc>
          <w:tcPr>
            <w:tcW w:w="302" w:type="pct"/>
            <w:shd w:val="clear" w:color="auto" w:fill="auto"/>
          </w:tcPr>
          <w:p w:rsidR="00C8690F" w:rsidRPr="00C8690F" w:rsidRDefault="00C8690F" w:rsidP="0031360C">
            <w:pPr>
              <w:jc w:val="center"/>
              <w:rPr>
                <w:rFonts w:ascii="Times New Roman" w:hAnsi="Times New Roman"/>
                <w:kern w:val="16"/>
                <w:sz w:val="24"/>
                <w:szCs w:val="24"/>
              </w:rPr>
            </w:pPr>
          </w:p>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7</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81.329</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101.471-9</w:t>
            </w:r>
          </w:p>
        </w:tc>
        <w:tc>
          <w:tcPr>
            <w:tcW w:w="212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MOREA - Luis José</w:t>
            </w:r>
          </w:p>
        </w:tc>
        <w:tc>
          <w:tcPr>
            <w:tcW w:w="788" w:type="pct"/>
            <w:gridSpan w:val="2"/>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05/07/2012</w:t>
            </w:r>
          </w:p>
        </w:tc>
        <w:tc>
          <w:tcPr>
            <w:tcW w:w="538" w:type="pct"/>
            <w:gridSpan w:val="2"/>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11.324</w:t>
            </w:r>
          </w:p>
        </w:tc>
      </w:tr>
      <w:tr w:rsidR="00C8690F" w:rsidRPr="00C8690F" w:rsidTr="0031360C">
        <w:trPr>
          <w:trHeight w:val="454"/>
        </w:trPr>
        <w:tc>
          <w:tcPr>
            <w:tcW w:w="302" w:type="pct"/>
            <w:shd w:val="clear" w:color="auto" w:fill="auto"/>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8</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81.330</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154.568-2</w:t>
            </w:r>
          </w:p>
        </w:tc>
        <w:tc>
          <w:tcPr>
            <w:tcW w:w="212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 xml:space="preserve">DE LA FUENTE - María Dolores // Juan Martín 50,00 % </w:t>
            </w:r>
            <w:proofErr w:type="spellStart"/>
            <w:r w:rsidRPr="00C8690F">
              <w:rPr>
                <w:rFonts w:ascii="Times New Roman" w:hAnsi="Times New Roman"/>
                <w:kern w:val="16"/>
                <w:sz w:val="24"/>
                <w:szCs w:val="24"/>
              </w:rPr>
              <w:t>c.u</w:t>
            </w:r>
            <w:proofErr w:type="spellEnd"/>
            <w:r w:rsidRPr="00C8690F">
              <w:rPr>
                <w:rFonts w:ascii="Times New Roman" w:hAnsi="Times New Roman"/>
                <w:kern w:val="16"/>
                <w:sz w:val="24"/>
                <w:szCs w:val="24"/>
              </w:rPr>
              <w:t>.</w:t>
            </w:r>
          </w:p>
        </w:tc>
        <w:tc>
          <w:tcPr>
            <w:tcW w:w="788" w:type="pct"/>
            <w:gridSpan w:val="2"/>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12/10/2007</w:t>
            </w:r>
          </w:p>
        </w:tc>
        <w:tc>
          <w:tcPr>
            <w:tcW w:w="538" w:type="pct"/>
            <w:gridSpan w:val="2"/>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957</w:t>
            </w:r>
          </w:p>
        </w:tc>
      </w:tr>
      <w:tr w:rsidR="00C8690F" w:rsidRPr="00C8690F" w:rsidTr="0031360C">
        <w:trPr>
          <w:trHeight w:val="454"/>
        </w:trPr>
        <w:tc>
          <w:tcPr>
            <w:tcW w:w="302" w:type="pct"/>
            <w:shd w:val="clear" w:color="auto" w:fill="auto"/>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9</w:t>
            </w:r>
          </w:p>
        </w:tc>
        <w:tc>
          <w:tcPr>
            <w:tcW w:w="575"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68.664</w:t>
            </w:r>
          </w:p>
        </w:tc>
        <w:tc>
          <w:tcPr>
            <w:tcW w:w="671" w:type="pct"/>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144.982-9</w:t>
            </w:r>
          </w:p>
        </w:tc>
        <w:tc>
          <w:tcPr>
            <w:tcW w:w="2125" w:type="pct"/>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DEL VALLE - Aristóbulo Héctor</w:t>
            </w:r>
          </w:p>
        </w:tc>
        <w:tc>
          <w:tcPr>
            <w:tcW w:w="788" w:type="pct"/>
            <w:gridSpan w:val="2"/>
            <w:shd w:val="clear" w:color="auto" w:fill="auto"/>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18/06/2004</w:t>
            </w:r>
          </w:p>
        </w:tc>
        <w:tc>
          <w:tcPr>
            <w:tcW w:w="538" w:type="pct"/>
            <w:gridSpan w:val="2"/>
            <w:shd w:val="clear" w:color="auto" w:fill="auto"/>
            <w:noWrap/>
            <w:vAlign w:val="center"/>
          </w:tcPr>
          <w:p w:rsidR="00C8690F" w:rsidRPr="00C8690F" w:rsidRDefault="00C8690F" w:rsidP="0031360C">
            <w:pPr>
              <w:jc w:val="center"/>
              <w:rPr>
                <w:rFonts w:ascii="Times New Roman" w:hAnsi="Times New Roman"/>
                <w:kern w:val="16"/>
                <w:sz w:val="24"/>
                <w:szCs w:val="24"/>
              </w:rPr>
            </w:pPr>
            <w:r w:rsidRPr="00C8690F">
              <w:rPr>
                <w:rFonts w:ascii="Times New Roman" w:hAnsi="Times New Roman"/>
                <w:kern w:val="16"/>
                <w:sz w:val="24"/>
                <w:szCs w:val="24"/>
              </w:rPr>
              <w:t>10.037</w:t>
            </w:r>
          </w:p>
        </w:tc>
      </w:tr>
    </w:tbl>
    <w:p w:rsidR="00C8690F" w:rsidRPr="00C8690F" w:rsidRDefault="00C8690F" w:rsidP="00C8690F">
      <w:pPr>
        <w:spacing w:line="288" w:lineRule="auto"/>
        <w:rPr>
          <w:rFonts w:ascii="Times New Roman" w:hAnsi="Times New Roman"/>
          <w:sz w:val="24"/>
          <w:szCs w:val="24"/>
        </w:rPr>
      </w:pPr>
    </w:p>
    <w:p w:rsidR="006318C6" w:rsidRPr="00C8690F" w:rsidRDefault="006318C6">
      <w:pPr>
        <w:rPr>
          <w:rFonts w:ascii="Times New Roman" w:hAnsi="Times New Roman"/>
          <w:sz w:val="24"/>
          <w:szCs w:val="24"/>
        </w:rPr>
      </w:pPr>
    </w:p>
    <w:sectPr w:rsidR="006318C6" w:rsidRPr="00C8690F" w:rsidSect="00C8690F">
      <w:pgSz w:w="11907" w:h="16840" w:code="9"/>
      <w:pgMar w:top="3119" w:right="624" w:bottom="624" w:left="1985"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F"/>
    <w:rsid w:val="00264ADF"/>
    <w:rsid w:val="006318C6"/>
    <w:rsid w:val="00C869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60206-68E6-4456-AEC1-9DC0E56B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0F"/>
    <w:pPr>
      <w:spacing w:after="0" w:line="240" w:lineRule="auto"/>
    </w:pPr>
    <w:rPr>
      <w:rFonts w:ascii="Courier New" w:eastAsia="Times New Roman" w:hAnsi="Courier New" w:cs="Times New Roman"/>
      <w:spacing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9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90F"/>
    <w:rPr>
      <w:rFonts w:ascii="Segoe UI" w:eastAsia="Times New Roman" w:hAnsi="Segoe UI" w:cs="Segoe UI"/>
      <w:spacing w:val="2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2023-03-03T14:08:00Z</cp:lastPrinted>
  <dcterms:created xsi:type="dcterms:W3CDTF">2023-03-03T13:35:00Z</dcterms:created>
  <dcterms:modified xsi:type="dcterms:W3CDTF">2023-03-03T14:10:00Z</dcterms:modified>
</cp:coreProperties>
</file>