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A862A" w14:textId="4593C530" w:rsidR="00D92271" w:rsidRDefault="00D92271" w:rsidP="0038683B">
      <w:pPr>
        <w:jc w:val="center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>FUNDAMENTOS</w:t>
      </w:r>
    </w:p>
    <w:p w14:paraId="4F0F4687" w14:textId="77777777" w:rsidR="00D92271" w:rsidRDefault="00D92271" w:rsidP="0038683B">
      <w:pPr>
        <w:jc w:val="center"/>
        <w:rPr>
          <w:rFonts w:ascii="Verdana" w:hAnsi="Verdana"/>
          <w:b/>
        </w:rPr>
      </w:pPr>
    </w:p>
    <w:p w14:paraId="0BA174EF" w14:textId="39939597" w:rsidR="00D92271" w:rsidRDefault="00D92271" w:rsidP="00D9227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Facultados por el Art. 4 de la Ley Orgánica N°10.027, los Municipios de Entre Ríos tienen la potestad de extender su jurisdicción territorial por leyes especiales. </w:t>
      </w:r>
    </w:p>
    <w:p w14:paraId="3EF6A1E6" w14:textId="77777777" w:rsidR="00D92271" w:rsidRDefault="00D92271" w:rsidP="00D92271">
      <w:pPr>
        <w:jc w:val="both"/>
        <w:rPr>
          <w:rFonts w:ascii="Verdana" w:hAnsi="Verdana"/>
          <w:sz w:val="24"/>
          <w:szCs w:val="24"/>
        </w:rPr>
      </w:pPr>
    </w:p>
    <w:p w14:paraId="0E1E4040" w14:textId="09D53D8F" w:rsidR="00D92271" w:rsidRPr="00D92271" w:rsidRDefault="00D92271" w:rsidP="00D92271">
      <w:pPr>
        <w:ind w:left="720"/>
        <w:jc w:val="both"/>
        <w:rPr>
          <w:rFonts w:ascii="Verdana" w:hAnsi="Verdana"/>
          <w:sz w:val="20"/>
          <w:szCs w:val="20"/>
        </w:rPr>
      </w:pPr>
      <w:r w:rsidRPr="00D92271">
        <w:rPr>
          <w:rFonts w:ascii="Verdana" w:hAnsi="Verdana"/>
          <w:sz w:val="20"/>
          <w:szCs w:val="20"/>
        </w:rPr>
        <w:t>Artículo 4°: Los Municipios estarán gobernados por dos Poderes: uno ejecutivo y otro deliberativo, cuyas autoridades serán designadas por elección popular directa. Sólo tendrán jurisdicción sobre sus respectivos ejidos, la que se extenderá a todos los terrenos que por leyes posteriores sean expresamente incorporados a los actuales.</w:t>
      </w:r>
    </w:p>
    <w:p w14:paraId="25820B09" w14:textId="77777777" w:rsidR="00D92271" w:rsidRDefault="00D92271" w:rsidP="00D92271">
      <w:pPr>
        <w:jc w:val="both"/>
        <w:rPr>
          <w:rFonts w:ascii="Verdana" w:hAnsi="Verdana"/>
          <w:sz w:val="24"/>
          <w:szCs w:val="24"/>
        </w:rPr>
      </w:pPr>
    </w:p>
    <w:p w14:paraId="2C58DD24" w14:textId="77777777" w:rsidR="008E0F60" w:rsidRDefault="00D92271" w:rsidP="00D92271">
      <w:pPr>
        <w:jc w:val="both"/>
        <w:rPr>
          <w:rFonts w:ascii="Verdana" w:hAnsi="Verdana"/>
          <w:sz w:val="24"/>
          <w:szCs w:val="24"/>
        </w:rPr>
      </w:pPr>
      <w:r w:rsidRPr="00D92271">
        <w:rPr>
          <w:rFonts w:ascii="Verdana" w:hAnsi="Verdana"/>
          <w:sz w:val="24"/>
          <w:szCs w:val="24"/>
        </w:rPr>
        <w:t xml:space="preserve">Dada la construcción de viviendas en la zona rural lindera al actual ejido Municipal de </w:t>
      </w:r>
      <w:r w:rsidR="008E0F60">
        <w:rPr>
          <w:rFonts w:ascii="Verdana" w:hAnsi="Verdana"/>
          <w:sz w:val="24"/>
          <w:szCs w:val="24"/>
        </w:rPr>
        <w:t xml:space="preserve">San José de </w:t>
      </w:r>
      <w:r w:rsidRPr="00D92271">
        <w:rPr>
          <w:rFonts w:ascii="Verdana" w:hAnsi="Verdana"/>
          <w:sz w:val="24"/>
          <w:szCs w:val="24"/>
        </w:rPr>
        <w:t xml:space="preserve">Gualeguaychú, la cual fue efectuada a fin de resolver déficit habitacional de la ciudad vinculada a </w:t>
      </w:r>
      <w:r w:rsidR="008E0F60">
        <w:rPr>
          <w:rFonts w:ascii="Verdana" w:hAnsi="Verdana"/>
          <w:sz w:val="24"/>
          <w:szCs w:val="24"/>
        </w:rPr>
        <w:t>poblaciones</w:t>
      </w:r>
      <w:r w:rsidRPr="00D92271">
        <w:rPr>
          <w:rFonts w:ascii="Verdana" w:hAnsi="Verdana"/>
          <w:sz w:val="24"/>
          <w:szCs w:val="24"/>
        </w:rPr>
        <w:t xml:space="preserve"> que se encontraban en situación de ocupación irregular</w:t>
      </w:r>
      <w:r w:rsidR="008E0F60">
        <w:rPr>
          <w:rFonts w:ascii="Verdana" w:hAnsi="Verdana"/>
          <w:sz w:val="24"/>
          <w:szCs w:val="24"/>
        </w:rPr>
        <w:t xml:space="preserve">, </w:t>
      </w:r>
      <w:r w:rsidRPr="00D92271">
        <w:rPr>
          <w:rFonts w:ascii="Verdana" w:hAnsi="Verdana"/>
          <w:sz w:val="24"/>
          <w:szCs w:val="24"/>
        </w:rPr>
        <w:t xml:space="preserve">se sustituyeron viviendas precarias por viviendas dignas e infraestructura que permitió en parte mejorar la calidad de vida de </w:t>
      </w:r>
      <w:r w:rsidR="008E0F60">
        <w:rPr>
          <w:rFonts w:ascii="Verdana" w:hAnsi="Verdana"/>
          <w:sz w:val="24"/>
          <w:szCs w:val="24"/>
        </w:rPr>
        <w:t>esta comunidad.</w:t>
      </w:r>
    </w:p>
    <w:p w14:paraId="3FEF8001" w14:textId="77777777" w:rsidR="008E0F60" w:rsidRDefault="008E0F60" w:rsidP="00D92271">
      <w:pPr>
        <w:jc w:val="both"/>
        <w:rPr>
          <w:rFonts w:ascii="Verdana" w:hAnsi="Verdana"/>
          <w:sz w:val="24"/>
          <w:szCs w:val="24"/>
        </w:rPr>
      </w:pPr>
    </w:p>
    <w:p w14:paraId="186D109D" w14:textId="77777777" w:rsidR="008E0F60" w:rsidRDefault="008E0F60" w:rsidP="00D9227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</w:t>
      </w:r>
      <w:r w:rsidR="00D92271" w:rsidRPr="00D92271">
        <w:rPr>
          <w:rFonts w:ascii="Verdana" w:hAnsi="Verdana"/>
          <w:sz w:val="24"/>
          <w:szCs w:val="24"/>
        </w:rPr>
        <w:t xml:space="preserve">n este marco es necesario completar el proyecto habitacional a través de la prestación de los servicios básicos, </w:t>
      </w:r>
      <w:r>
        <w:rPr>
          <w:rFonts w:ascii="Verdana" w:hAnsi="Verdana"/>
          <w:sz w:val="24"/>
          <w:szCs w:val="24"/>
        </w:rPr>
        <w:t xml:space="preserve">por lo cual </w:t>
      </w:r>
      <w:r w:rsidR="00D92271" w:rsidRPr="00D92271">
        <w:rPr>
          <w:rFonts w:ascii="Verdana" w:hAnsi="Verdana"/>
          <w:sz w:val="24"/>
          <w:szCs w:val="24"/>
        </w:rPr>
        <w:t xml:space="preserve">el intendente de la ciudad de Gualeguaychú Dr. Esteban Martín Piaggio inicia trámite el día 2 de febrero de 2017 ante la Dirección Provincial de Catastro a fin de ampliar el ejido municipal incorporando el sector rural que está involucrado en el plan habitacional antes mencionado. En dicho análisis interviene el Agrimensor Raúl Eugenio Pugliese, quien a pedido de la Municipalidad define el límite de zona de ampliación del ejido utilizando la información suministrada por la Dirección Provincial de Catastro. Por su parte a través de respuesta </w:t>
      </w:r>
      <w:r>
        <w:rPr>
          <w:rFonts w:ascii="Verdana" w:hAnsi="Verdana"/>
          <w:sz w:val="24"/>
          <w:szCs w:val="24"/>
        </w:rPr>
        <w:t>al expediente N°1210/21447/2017, la</w:t>
      </w:r>
      <w:r w:rsidR="00D92271" w:rsidRPr="00D92271">
        <w:rPr>
          <w:rFonts w:ascii="Verdana" w:hAnsi="Verdana"/>
          <w:sz w:val="24"/>
          <w:szCs w:val="24"/>
        </w:rPr>
        <w:t xml:space="preserve"> Direc</w:t>
      </w:r>
      <w:r>
        <w:rPr>
          <w:rFonts w:ascii="Verdana" w:hAnsi="Verdana"/>
          <w:sz w:val="24"/>
          <w:szCs w:val="24"/>
        </w:rPr>
        <w:t>ción</w:t>
      </w:r>
      <w:r w:rsidR="00D92271" w:rsidRPr="00D92271">
        <w:rPr>
          <w:rFonts w:ascii="Verdana" w:hAnsi="Verdana"/>
          <w:sz w:val="24"/>
          <w:szCs w:val="24"/>
        </w:rPr>
        <w:t xml:space="preserve"> de Catastro entiende factible la posibilidad de la ampliación de ejido solicitada</w:t>
      </w:r>
      <w:r>
        <w:rPr>
          <w:rFonts w:ascii="Verdana" w:hAnsi="Verdana"/>
          <w:sz w:val="24"/>
          <w:szCs w:val="24"/>
        </w:rPr>
        <w:t>.</w:t>
      </w:r>
    </w:p>
    <w:p w14:paraId="7CA17AE0" w14:textId="77777777" w:rsidR="008E0F60" w:rsidRDefault="008E0F60" w:rsidP="00D92271">
      <w:pPr>
        <w:jc w:val="both"/>
        <w:rPr>
          <w:rFonts w:ascii="Verdana" w:hAnsi="Verdana"/>
          <w:sz w:val="24"/>
          <w:szCs w:val="24"/>
        </w:rPr>
      </w:pPr>
    </w:p>
    <w:p w14:paraId="37D6C6C2" w14:textId="290D9730" w:rsidR="00D92271" w:rsidRDefault="00D92271" w:rsidP="00D92271">
      <w:pPr>
        <w:jc w:val="both"/>
        <w:rPr>
          <w:rFonts w:ascii="Verdana" w:hAnsi="Verdana"/>
          <w:sz w:val="24"/>
          <w:szCs w:val="24"/>
        </w:rPr>
      </w:pPr>
      <w:r w:rsidRPr="00D92271">
        <w:rPr>
          <w:rFonts w:ascii="Verdana" w:hAnsi="Verdana"/>
          <w:sz w:val="24"/>
          <w:szCs w:val="24"/>
        </w:rPr>
        <w:t xml:space="preserve">Entendiendo que es prioritario brindar servicios </w:t>
      </w:r>
      <w:r w:rsidR="008E0F60">
        <w:rPr>
          <w:rFonts w:ascii="Verdana" w:hAnsi="Verdana"/>
          <w:sz w:val="24"/>
          <w:szCs w:val="24"/>
        </w:rPr>
        <w:t>íntegros</w:t>
      </w:r>
      <w:r w:rsidRPr="00D92271">
        <w:rPr>
          <w:rFonts w:ascii="Verdana" w:hAnsi="Verdana"/>
          <w:sz w:val="24"/>
          <w:szCs w:val="24"/>
        </w:rPr>
        <w:t xml:space="preserve"> a la población a fin de mejorar la calidad de vida y constituir una sociedad más justa y equitativa, </w:t>
      </w:r>
      <w:r w:rsidR="008E0F60">
        <w:rPr>
          <w:rFonts w:ascii="Verdana" w:hAnsi="Verdana"/>
          <w:sz w:val="24"/>
          <w:szCs w:val="24"/>
        </w:rPr>
        <w:t>así como también</w:t>
      </w:r>
      <w:r w:rsidRPr="00D92271">
        <w:rPr>
          <w:rFonts w:ascii="Verdana" w:hAnsi="Verdana"/>
          <w:sz w:val="24"/>
          <w:szCs w:val="24"/>
        </w:rPr>
        <w:t xml:space="preserve"> considerando que es</w:t>
      </w:r>
      <w:r w:rsidR="008E0F60">
        <w:rPr>
          <w:rFonts w:ascii="Verdana" w:hAnsi="Verdana"/>
          <w:sz w:val="24"/>
          <w:szCs w:val="24"/>
        </w:rPr>
        <w:t xml:space="preserve"> un trámite formal</w:t>
      </w:r>
      <w:r w:rsidRPr="00D92271">
        <w:rPr>
          <w:rFonts w:ascii="Verdana" w:hAnsi="Verdana"/>
          <w:sz w:val="24"/>
          <w:szCs w:val="24"/>
        </w:rPr>
        <w:t xml:space="preserve"> necesario para que la </w:t>
      </w:r>
      <w:r w:rsidR="008E0F60">
        <w:rPr>
          <w:rFonts w:ascii="Verdana" w:hAnsi="Verdana"/>
          <w:sz w:val="24"/>
          <w:szCs w:val="24"/>
        </w:rPr>
        <w:t>M</w:t>
      </w:r>
      <w:r w:rsidRPr="00D92271">
        <w:rPr>
          <w:rFonts w:ascii="Verdana" w:hAnsi="Verdana"/>
          <w:sz w:val="24"/>
          <w:szCs w:val="24"/>
        </w:rPr>
        <w:t xml:space="preserve">unicipalidad de Gualeguaychú pueda </w:t>
      </w:r>
      <w:r w:rsidR="008E0F60">
        <w:rPr>
          <w:rFonts w:ascii="Verdana" w:hAnsi="Verdana"/>
          <w:sz w:val="24"/>
          <w:szCs w:val="24"/>
        </w:rPr>
        <w:t>cumplir con</w:t>
      </w:r>
      <w:r w:rsidRPr="00D92271">
        <w:rPr>
          <w:rFonts w:ascii="Verdana" w:hAnsi="Verdana"/>
          <w:sz w:val="24"/>
          <w:szCs w:val="24"/>
        </w:rPr>
        <w:t xml:space="preserve"> lo</w:t>
      </w:r>
      <w:r w:rsidR="008E0F60">
        <w:rPr>
          <w:rFonts w:ascii="Verdana" w:hAnsi="Verdana"/>
          <w:sz w:val="24"/>
          <w:szCs w:val="24"/>
        </w:rPr>
        <w:t xml:space="preserve"> que esto requiere,</w:t>
      </w:r>
      <w:r w:rsidRPr="00D92271">
        <w:rPr>
          <w:rFonts w:ascii="Verdana" w:hAnsi="Verdana"/>
          <w:sz w:val="24"/>
          <w:szCs w:val="24"/>
        </w:rPr>
        <w:t xml:space="preserve"> solicito se d</w:t>
      </w:r>
      <w:r w:rsidR="008E0F60">
        <w:rPr>
          <w:rFonts w:ascii="Verdana" w:hAnsi="Verdana"/>
          <w:sz w:val="24"/>
          <w:szCs w:val="24"/>
        </w:rPr>
        <w:t>é</w:t>
      </w:r>
      <w:r w:rsidRPr="00D92271">
        <w:rPr>
          <w:rFonts w:ascii="Verdana" w:hAnsi="Verdana"/>
          <w:sz w:val="24"/>
          <w:szCs w:val="24"/>
        </w:rPr>
        <w:t xml:space="preserve"> tratamiento al presente proyecto de Ley</w:t>
      </w:r>
      <w:r w:rsidR="008E0F60">
        <w:rPr>
          <w:rFonts w:ascii="Verdana" w:hAnsi="Verdana"/>
          <w:sz w:val="24"/>
          <w:szCs w:val="24"/>
        </w:rPr>
        <w:t>.</w:t>
      </w:r>
    </w:p>
    <w:p w14:paraId="133917CC" w14:textId="77777777" w:rsidR="008E0F60" w:rsidRDefault="008E0F60" w:rsidP="00D92271">
      <w:pPr>
        <w:jc w:val="both"/>
        <w:rPr>
          <w:rFonts w:ascii="Verdana" w:hAnsi="Verdana"/>
          <w:sz w:val="24"/>
          <w:szCs w:val="24"/>
        </w:rPr>
      </w:pPr>
    </w:p>
    <w:p w14:paraId="096DCE27" w14:textId="77777777" w:rsidR="008E0F60" w:rsidRDefault="008E0F60" w:rsidP="00D92271">
      <w:pPr>
        <w:jc w:val="both"/>
        <w:rPr>
          <w:rFonts w:ascii="Verdana" w:hAnsi="Verdana"/>
          <w:sz w:val="24"/>
          <w:szCs w:val="24"/>
        </w:rPr>
      </w:pPr>
    </w:p>
    <w:p w14:paraId="548A6D1B" w14:textId="77777777" w:rsidR="008E0F60" w:rsidRDefault="008E0F60" w:rsidP="00D92271">
      <w:pPr>
        <w:jc w:val="both"/>
        <w:rPr>
          <w:rFonts w:ascii="Verdana" w:hAnsi="Verdana"/>
          <w:sz w:val="24"/>
          <w:szCs w:val="24"/>
        </w:rPr>
      </w:pPr>
    </w:p>
    <w:p w14:paraId="10529F17" w14:textId="77777777" w:rsidR="008E0F60" w:rsidRDefault="008E0F60" w:rsidP="00D92271">
      <w:pPr>
        <w:jc w:val="both"/>
        <w:rPr>
          <w:rFonts w:ascii="Verdana" w:hAnsi="Verdana"/>
          <w:sz w:val="24"/>
          <w:szCs w:val="24"/>
        </w:rPr>
      </w:pPr>
    </w:p>
    <w:p w14:paraId="4CADEEC0" w14:textId="77777777" w:rsidR="008E0F60" w:rsidRPr="00D92271" w:rsidRDefault="008E0F60" w:rsidP="00D92271">
      <w:pPr>
        <w:jc w:val="both"/>
        <w:rPr>
          <w:rFonts w:ascii="Verdana" w:hAnsi="Verdana"/>
          <w:b/>
          <w:sz w:val="24"/>
          <w:szCs w:val="24"/>
        </w:rPr>
      </w:pPr>
    </w:p>
    <w:p w14:paraId="06F9CA69" w14:textId="77777777" w:rsidR="00D92271" w:rsidRDefault="00D92271" w:rsidP="0038683B">
      <w:pPr>
        <w:jc w:val="center"/>
        <w:rPr>
          <w:rFonts w:ascii="Verdana" w:hAnsi="Verdana"/>
          <w:b/>
        </w:rPr>
      </w:pPr>
    </w:p>
    <w:p w14:paraId="0F66E97E" w14:textId="04199F3B" w:rsidR="0038683B" w:rsidRPr="00B975CE" w:rsidRDefault="0038683B" w:rsidP="0038683B">
      <w:pPr>
        <w:jc w:val="center"/>
        <w:rPr>
          <w:rFonts w:ascii="Verdana" w:hAnsi="Verdana"/>
          <w:b/>
        </w:rPr>
      </w:pPr>
      <w:r w:rsidRPr="00B975CE">
        <w:rPr>
          <w:rFonts w:ascii="Verdana" w:hAnsi="Verdana"/>
          <w:b/>
        </w:rPr>
        <w:lastRenderedPageBreak/>
        <w:t>LA LEGISLATURA DE LA PROVINCIA DE ENTRE RÍOS SANCIONA CON FUERZA DE LEY:</w:t>
      </w:r>
    </w:p>
    <w:p w14:paraId="12313060" w14:textId="77777777" w:rsidR="0038683B" w:rsidRPr="0038683B" w:rsidRDefault="0038683B" w:rsidP="0038683B">
      <w:pPr>
        <w:rPr>
          <w:rFonts w:ascii="Verdana" w:hAnsi="Verdana"/>
        </w:rPr>
      </w:pPr>
    </w:p>
    <w:p w14:paraId="1928E96B" w14:textId="4128D766" w:rsidR="0038683B" w:rsidRDefault="0038683B" w:rsidP="0038683B">
      <w:pPr>
        <w:jc w:val="both"/>
        <w:rPr>
          <w:rFonts w:ascii="Verdana" w:hAnsi="Verdana"/>
        </w:rPr>
      </w:pPr>
      <w:r w:rsidRPr="00B975CE">
        <w:rPr>
          <w:rFonts w:ascii="Verdana" w:hAnsi="Verdana"/>
          <w:b/>
        </w:rPr>
        <w:t>ARTÍCULO 1º</w:t>
      </w:r>
      <w:r w:rsidRPr="0038683B">
        <w:rPr>
          <w:rFonts w:ascii="Verdana" w:hAnsi="Verdana"/>
        </w:rPr>
        <w:t xml:space="preserve">. Ampliar el ejido </w:t>
      </w:r>
      <w:r>
        <w:rPr>
          <w:rFonts w:ascii="Verdana" w:hAnsi="Verdana"/>
        </w:rPr>
        <w:t xml:space="preserve">Municipal </w:t>
      </w:r>
      <w:r w:rsidRPr="0038683B">
        <w:rPr>
          <w:rFonts w:ascii="Verdana" w:hAnsi="Verdana"/>
        </w:rPr>
        <w:t xml:space="preserve">de la </w:t>
      </w:r>
      <w:r>
        <w:rPr>
          <w:rFonts w:ascii="Verdana" w:hAnsi="Verdana"/>
        </w:rPr>
        <w:t xml:space="preserve">localidad de San José </w:t>
      </w:r>
      <w:r w:rsidRPr="0038683B">
        <w:rPr>
          <w:rFonts w:ascii="Verdana" w:hAnsi="Verdana"/>
        </w:rPr>
        <w:t>de Gualeguaychú</w:t>
      </w:r>
      <w:r>
        <w:rPr>
          <w:rFonts w:ascii="Verdana" w:hAnsi="Verdana"/>
        </w:rPr>
        <w:t>, Departamento Gualeguaychú,</w:t>
      </w:r>
      <w:r w:rsidRPr="0038683B">
        <w:rPr>
          <w:rFonts w:ascii="Verdana" w:hAnsi="Verdana"/>
        </w:rPr>
        <w:t xml:space="preserve"> </w:t>
      </w:r>
      <w:r>
        <w:rPr>
          <w:rFonts w:ascii="Verdana" w:hAnsi="Verdana"/>
        </w:rPr>
        <w:t>de conformidad a lo establecido en el Art. 4° de la Ley N° 10.027.</w:t>
      </w:r>
    </w:p>
    <w:p w14:paraId="07D7FF81" w14:textId="77777777" w:rsidR="0038683B" w:rsidRDefault="0038683B" w:rsidP="0038683B">
      <w:pPr>
        <w:jc w:val="both"/>
        <w:rPr>
          <w:rFonts w:ascii="Verdana" w:hAnsi="Verdana"/>
        </w:rPr>
      </w:pPr>
    </w:p>
    <w:p w14:paraId="40E77126" w14:textId="77777777" w:rsidR="00B816AB" w:rsidRDefault="0038683B" w:rsidP="0038683B">
      <w:pPr>
        <w:jc w:val="both"/>
        <w:rPr>
          <w:rFonts w:ascii="Verdana" w:hAnsi="Verdana"/>
        </w:rPr>
      </w:pPr>
      <w:r w:rsidRPr="00B975CE">
        <w:rPr>
          <w:rFonts w:ascii="Verdana" w:hAnsi="Verdana"/>
          <w:b/>
        </w:rPr>
        <w:t>ARTÍCULO 2°</w:t>
      </w:r>
      <w:r>
        <w:rPr>
          <w:rFonts w:ascii="Verdana" w:hAnsi="Verdana"/>
        </w:rPr>
        <w:t>.</w:t>
      </w:r>
      <w:r w:rsidR="00B975CE">
        <w:rPr>
          <w:rFonts w:ascii="Verdana" w:hAnsi="Verdana"/>
        </w:rPr>
        <w:t xml:space="preserve"> La jurisdicción del Municipio de Gualeguaychú se extenderá entre los </w:t>
      </w:r>
      <w:r w:rsidRPr="0038683B">
        <w:rPr>
          <w:rFonts w:ascii="Verdana" w:hAnsi="Verdana"/>
        </w:rPr>
        <w:t xml:space="preserve">siguientes límites y linderos: </w:t>
      </w:r>
    </w:p>
    <w:p w14:paraId="11F8C08A" w14:textId="09EC94AD" w:rsidR="00B975CE" w:rsidRDefault="00B975CE" w:rsidP="0038683B">
      <w:pPr>
        <w:jc w:val="both"/>
        <w:rPr>
          <w:rFonts w:ascii="Verdana" w:hAnsi="Verdana"/>
        </w:rPr>
      </w:pPr>
      <w:r>
        <w:rPr>
          <w:rFonts w:ascii="Verdana" w:hAnsi="Verdana"/>
        </w:rPr>
        <w:br/>
      </w:r>
      <w:r w:rsidR="008253BE">
        <w:rPr>
          <w:rFonts w:ascii="Verdana" w:hAnsi="Verdana"/>
          <w:b/>
        </w:rPr>
        <w:t>.</w:t>
      </w:r>
      <w:r w:rsidR="0038683B" w:rsidRPr="00B975CE">
        <w:rPr>
          <w:rFonts w:ascii="Verdana" w:hAnsi="Verdana"/>
          <w:b/>
        </w:rPr>
        <w:t>NORTE</w:t>
      </w:r>
      <w:r w:rsidR="0038683B" w:rsidRPr="0038683B">
        <w:rPr>
          <w:rFonts w:ascii="Verdana" w:hAnsi="Verdana"/>
        </w:rPr>
        <w:t xml:space="preserve">: Arroyo Del Cura y parte del Río Gualeguaychú; </w:t>
      </w:r>
    </w:p>
    <w:p w14:paraId="523ADE09" w14:textId="58A964F6" w:rsidR="00B975CE" w:rsidRDefault="008253BE" w:rsidP="0038683B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.</w:t>
      </w:r>
      <w:r w:rsidR="0038683B" w:rsidRPr="00B975CE">
        <w:rPr>
          <w:rFonts w:ascii="Verdana" w:hAnsi="Verdana"/>
          <w:b/>
        </w:rPr>
        <w:t>ESTE</w:t>
      </w:r>
      <w:r w:rsidR="0038683B" w:rsidRPr="0038683B">
        <w:rPr>
          <w:rFonts w:ascii="Verdana" w:hAnsi="Verdana"/>
        </w:rPr>
        <w:t xml:space="preserve">: Parte del río Gualeguaychú, Arroyo Venerato; </w:t>
      </w:r>
    </w:p>
    <w:p w14:paraId="6B2F610F" w14:textId="75931731" w:rsidR="00B975CE" w:rsidRDefault="008253BE" w:rsidP="0038683B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.</w:t>
      </w:r>
      <w:r w:rsidR="0038683B" w:rsidRPr="00B975CE">
        <w:rPr>
          <w:rFonts w:ascii="Verdana" w:hAnsi="Verdana"/>
          <w:b/>
        </w:rPr>
        <w:t>SUR</w:t>
      </w:r>
      <w:r w:rsidR="0038683B" w:rsidRPr="0038683B">
        <w:rPr>
          <w:rFonts w:ascii="Verdana" w:hAnsi="Verdana"/>
        </w:rPr>
        <w:t xml:space="preserve">: mediante once (11) rectas a saber: 2-3 rumbo N 88°03’O de 884,12 m; 3-4 rumbo N 1°50’ de 200,00 m y 4-5 rumbo N 87°50’O de 441,00 m, todas límite sur de la partida 33446 y partida 108721.- Recta 5-6 rumbo N 87°44’O de 12.5 m parte lado sur de la partida 108721.- Recta 6-7 rumbo N 87°44’O de 811,5 m lado sur de la partida 105382.- Recta 7-8 rumbo S 3°17’O de 119,31 m, parte lado Este de la partida 35776.- Rectas 8-9 rumbo S 83°58’O de 188,65 m; 9-10 rumbo N 70°17’O de 547,50 m; 10-11 rumbo N 70°33’O de 944,50 m; 11-12 rumbo N 69°43’O de 138,00 m; y 12-13 rumbo N 85°34’O de 1143,27 m, todas del lado sur de la partida 35776; </w:t>
      </w:r>
    </w:p>
    <w:p w14:paraId="333D3518" w14:textId="396DB5E2" w:rsidR="00B975CE" w:rsidRDefault="008253BE" w:rsidP="0038683B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.</w:t>
      </w:r>
      <w:r w:rsidR="0038683B" w:rsidRPr="00B975CE">
        <w:rPr>
          <w:rFonts w:ascii="Verdana" w:hAnsi="Verdana"/>
          <w:b/>
        </w:rPr>
        <w:t>OESTE</w:t>
      </w:r>
      <w:r w:rsidR="0038683B" w:rsidRPr="0038683B">
        <w:rPr>
          <w:rFonts w:ascii="Verdana" w:hAnsi="Verdana"/>
        </w:rPr>
        <w:t xml:space="preserve">: mediante catorce (14) rectas a saber: 13-14 rumbo N 3°49’O de 331,96 m; 14-15 rumbo N 7°05’E de 398,41 m; 15-16 rumbo N 21°14’E de 409,22 m; 16-17 rumbo N 17°38’E de 13,78 m, todas límite oeste de la partida 35776.- Rectas 17-18 rumbo S 88°54’O de </w:t>
      </w:r>
      <w:r w:rsidR="00B975CE">
        <w:rPr>
          <w:rFonts w:ascii="Verdana" w:hAnsi="Verdana"/>
        </w:rPr>
        <w:t>52,48 m cruce calle vecinal (Pro</w:t>
      </w:r>
      <w:r w:rsidR="0038683B" w:rsidRPr="0038683B">
        <w:rPr>
          <w:rFonts w:ascii="Verdana" w:hAnsi="Verdana"/>
        </w:rPr>
        <w:t>long</w:t>
      </w:r>
      <w:r w:rsidR="00B816AB">
        <w:rPr>
          <w:rFonts w:ascii="Verdana" w:hAnsi="Verdana"/>
        </w:rPr>
        <w:t>ación</w:t>
      </w:r>
      <w:r w:rsidR="0038683B" w:rsidRPr="0038683B">
        <w:rPr>
          <w:rFonts w:ascii="Verdana" w:hAnsi="Verdana"/>
        </w:rPr>
        <w:t xml:space="preserve"> Julio Irazusta); 18-19 rumbo S 88°54’O de 377,00 m límite sur partida 32469; 19-20 rumbo S 87°29’O de 188.80 m límite sur partida 30190; recta 20-21 rumbo N 14°12’O de 375,10 m; recta 21-22 rumbo N 4°21’O de 254,20 m ambas límite Este partida 30190; 22-23 rumbo 2°57’O de 10,07 m límite sur partida 144517; 23-24 rumbo N 86°14’O de 275,36 m límite sur partida 139909; 24-25 rumbo N 28°52’O de 58,18 m (cruce ruta provincial N°42); recta 25-26 rumbo N 24°40’ E de 564,38 m; y recta 26-1 rumbo N 29°01’E de 69,44 m, ambas límite Este partida 32093.- </w:t>
      </w:r>
    </w:p>
    <w:p w14:paraId="567C6F07" w14:textId="77777777" w:rsidR="00B975CE" w:rsidRDefault="00B975CE" w:rsidP="0038683B">
      <w:pPr>
        <w:jc w:val="both"/>
        <w:rPr>
          <w:rFonts w:ascii="Verdana" w:hAnsi="Verdana"/>
        </w:rPr>
      </w:pPr>
    </w:p>
    <w:p w14:paraId="493AB289" w14:textId="0C40B283" w:rsidR="00ED6FD1" w:rsidRDefault="00B975CE" w:rsidP="0038683B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ARTÍCULO 3</w:t>
      </w:r>
      <w:r w:rsidR="0038683B" w:rsidRPr="00B975CE">
        <w:rPr>
          <w:rFonts w:ascii="Verdana" w:hAnsi="Verdana"/>
          <w:b/>
        </w:rPr>
        <w:t>º</w:t>
      </w:r>
      <w:r w:rsidR="008253BE">
        <w:rPr>
          <w:rFonts w:ascii="Verdana" w:hAnsi="Verdana"/>
        </w:rPr>
        <w:t>.</w:t>
      </w:r>
      <w:r w:rsidR="0038683B" w:rsidRPr="0038683B">
        <w:rPr>
          <w:rFonts w:ascii="Verdana" w:hAnsi="Verdana"/>
        </w:rPr>
        <w:t xml:space="preserve"> </w:t>
      </w:r>
      <w:r w:rsidR="008253BE">
        <w:rPr>
          <w:rFonts w:ascii="Verdana" w:hAnsi="Verdana"/>
        </w:rPr>
        <w:t>De forma.</w:t>
      </w:r>
    </w:p>
    <w:p w14:paraId="7B06FBE5" w14:textId="77777777" w:rsidR="00D92271" w:rsidRPr="0038683B" w:rsidRDefault="00D92271" w:rsidP="0038683B">
      <w:pPr>
        <w:jc w:val="both"/>
        <w:rPr>
          <w:rFonts w:ascii="Verdana" w:hAnsi="Verdana"/>
        </w:rPr>
      </w:pPr>
    </w:p>
    <w:sectPr w:rsidR="00D92271" w:rsidRPr="0038683B" w:rsidSect="00B816AB">
      <w:headerReference w:type="default" r:id="rId8"/>
      <w:footerReference w:type="default" r:id="rId9"/>
      <w:pgSz w:w="11910" w:h="16840" w:code="9"/>
      <w:pgMar w:top="2268" w:right="1134" w:bottom="1701" w:left="2268" w:header="0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C2578" w14:textId="77777777" w:rsidR="00B1740C" w:rsidRDefault="00B1740C">
      <w:r>
        <w:separator/>
      </w:r>
    </w:p>
  </w:endnote>
  <w:endnote w:type="continuationSeparator" w:id="0">
    <w:p w14:paraId="76360846" w14:textId="77777777" w:rsidR="00B1740C" w:rsidRDefault="00B1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X Gyre Bonum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B Garamond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B67FE" w14:textId="77777777" w:rsidR="0067345E" w:rsidRDefault="0067345E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Carlito" w:hAnsi="Carlito"/>
        <w:b/>
        <w:sz w:val="16"/>
      </w:rPr>
      <w:t xml:space="preserve">Nogoyá 50, 7° B | Paraná, Entre Ríos </w:t>
    </w:r>
    <w:r>
      <w:rPr>
        <w:rFonts w:ascii="Carlito" w:hAnsi="Carlito"/>
        <w:b/>
        <w:sz w:val="16"/>
      </w:rPr>
      <w:br/>
      <w:t xml:space="preserve">Tel.: (0343) 4208123 | 4208120 </w:t>
    </w:r>
    <w:hyperlink r:id="rId1">
      <w:r>
        <w:rPr>
          <w:rFonts w:ascii="Carlito"/>
          <w:b/>
          <w:sz w:val="16"/>
        </w:rPr>
        <w:t>maradey@mailsenadoer.gob.ar</w:t>
      </w:r>
    </w:hyperlink>
    <w:r>
      <w:rPr>
        <w:rFonts w:ascii="Carlito"/>
        <w:b/>
        <w:sz w:val="16"/>
      </w:rPr>
      <w:t xml:space="preserve"> </w:t>
    </w:r>
  </w:p>
  <w:p w14:paraId="5B913EEF" w14:textId="77777777" w:rsidR="000F072A" w:rsidRDefault="000F072A">
    <w:pPr>
      <w:pStyle w:val="Textoindependiente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B389B" w14:textId="77777777" w:rsidR="00B1740C" w:rsidRDefault="00B1740C">
      <w:r>
        <w:separator/>
      </w:r>
    </w:p>
  </w:footnote>
  <w:footnote w:type="continuationSeparator" w:id="0">
    <w:p w14:paraId="664E55B8" w14:textId="77777777" w:rsidR="00B1740C" w:rsidRDefault="00B17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B694F" w14:textId="77777777" w:rsidR="00BF2C8C" w:rsidRDefault="00BF2C8C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5EF3BD69" w14:textId="77777777" w:rsidR="001A105B" w:rsidRDefault="001A105B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47B64A73" w14:textId="77777777" w:rsidR="001A105B" w:rsidRDefault="001A105B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3752E76F" w14:textId="0A41C781" w:rsidR="005B2228" w:rsidRDefault="005B2228" w:rsidP="005B2228">
    <w:pPr>
      <w:pStyle w:val="Encabezado"/>
      <w:jc w:val="right"/>
      <w:rPr>
        <w:rFonts w:ascii="Times New Roman"/>
        <w:noProof/>
        <w:position w:val="1"/>
        <w:sz w:val="20"/>
        <w:lang w:val="es-AR" w:eastAsia="es-AR"/>
      </w:rPr>
    </w:pPr>
    <w:r>
      <w:rPr>
        <w:rFonts w:ascii="Times New Roman"/>
        <w:noProof/>
        <w:sz w:val="20"/>
        <w:lang w:val="es-AR" w:eastAsia="es-AR"/>
      </w:rPr>
      <w:t xml:space="preserve">  </w:t>
    </w:r>
    <w:r w:rsidR="008E60C2">
      <w:rPr>
        <w:rFonts w:ascii="Times New Roman"/>
        <w:noProof/>
        <w:position w:val="1"/>
        <w:sz w:val="20"/>
        <w:lang w:val="es-AR" w:eastAsia="es-AR"/>
      </w:rPr>
      <w:drawing>
        <wp:inline distT="0" distB="0" distL="0" distR="0" wp14:anchorId="06454908" wp14:editId="2D935DBF">
          <wp:extent cx="1121134" cy="747422"/>
          <wp:effectExtent l="0" t="0" r="3175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nado - 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216" cy="74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position w:val="1"/>
        <w:sz w:val="20"/>
        <w:lang w:val="es-AR" w:eastAsia="es-AR"/>
      </w:rPr>
      <w:t xml:space="preserve"> </w:t>
    </w:r>
    <w:r w:rsidR="00BF2C8C">
      <w:rPr>
        <w:rFonts w:ascii="Times New Roman"/>
        <w:noProof/>
        <w:position w:val="1"/>
        <w:sz w:val="20"/>
        <w:lang w:val="es-AR" w:eastAsia="es-AR"/>
      </w:rPr>
      <w:t xml:space="preserve">    </w:t>
    </w:r>
    <w:r w:rsidR="008E60C2">
      <w:rPr>
        <w:rFonts w:ascii="Times New Roman"/>
        <w:noProof/>
        <w:position w:val="1"/>
        <w:sz w:val="20"/>
        <w:lang w:val="es-AR" w:eastAsia="es-AR"/>
      </w:rPr>
      <w:drawing>
        <wp:inline distT="0" distB="0" distL="0" distR="0" wp14:anchorId="188F5A89" wp14:editId="6615DB71">
          <wp:extent cx="858741" cy="858741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J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728" cy="854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855602" w14:textId="77777777" w:rsidR="001A105B" w:rsidRDefault="001A105B" w:rsidP="005B2228">
    <w:pPr>
      <w:pStyle w:val="Encabezado"/>
      <w:jc w:val="right"/>
      <w:rPr>
        <w:rFonts w:ascii="Times New Roman"/>
        <w:noProof/>
        <w:position w:val="1"/>
        <w:sz w:val="20"/>
        <w:lang w:val="es-AR" w:eastAsia="es-AR"/>
      </w:rPr>
    </w:pPr>
  </w:p>
  <w:p w14:paraId="5041458B" w14:textId="77777777" w:rsidR="00BF2C8C" w:rsidRDefault="00BF2C8C" w:rsidP="005B222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E067A0E"/>
    <w:multiLevelType w:val="hybridMultilevel"/>
    <w:tmpl w:val="869EBCD0"/>
    <w:lvl w:ilvl="0" w:tplc="2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13773"/>
    <w:multiLevelType w:val="hybridMultilevel"/>
    <w:tmpl w:val="CD90ABFA"/>
    <w:lvl w:ilvl="0" w:tplc="0720D46E">
      <w:start w:val="1"/>
      <w:numFmt w:val="upperLetter"/>
      <w:lvlText w:val="%1)"/>
      <w:lvlJc w:val="left"/>
      <w:pPr>
        <w:ind w:left="1244" w:hanging="360"/>
        <w:jc w:val="left"/>
      </w:pPr>
      <w:rPr>
        <w:rFonts w:ascii="TeX Gyre Bonum" w:eastAsia="TeX Gyre Bonum" w:hAnsi="TeX Gyre Bonum" w:cs="TeX Gyre Bonum" w:hint="default"/>
        <w:spacing w:val="-29"/>
        <w:w w:val="99"/>
        <w:sz w:val="24"/>
        <w:szCs w:val="24"/>
        <w:lang w:val="es-ES" w:eastAsia="en-US" w:bidi="ar-SA"/>
      </w:rPr>
    </w:lvl>
    <w:lvl w:ilvl="1" w:tplc="FBAA2A96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07140996">
      <w:numFmt w:val="bullet"/>
      <w:lvlText w:val="•"/>
      <w:lvlJc w:val="left"/>
      <w:pPr>
        <w:ind w:left="2961" w:hanging="360"/>
      </w:pPr>
      <w:rPr>
        <w:rFonts w:hint="default"/>
        <w:lang w:val="es-ES" w:eastAsia="en-US" w:bidi="ar-SA"/>
      </w:rPr>
    </w:lvl>
    <w:lvl w:ilvl="3" w:tplc="14BE1A2C">
      <w:numFmt w:val="bullet"/>
      <w:lvlText w:val="•"/>
      <w:lvlJc w:val="left"/>
      <w:pPr>
        <w:ind w:left="3821" w:hanging="360"/>
      </w:pPr>
      <w:rPr>
        <w:rFonts w:hint="default"/>
        <w:lang w:val="es-ES" w:eastAsia="en-US" w:bidi="ar-SA"/>
      </w:rPr>
    </w:lvl>
    <w:lvl w:ilvl="4" w:tplc="8848A8A2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5" w:tplc="BDDE841C">
      <w:numFmt w:val="bullet"/>
      <w:lvlText w:val="•"/>
      <w:lvlJc w:val="left"/>
      <w:pPr>
        <w:ind w:left="5543" w:hanging="360"/>
      </w:pPr>
      <w:rPr>
        <w:rFonts w:hint="default"/>
        <w:lang w:val="es-ES" w:eastAsia="en-US" w:bidi="ar-SA"/>
      </w:rPr>
    </w:lvl>
    <w:lvl w:ilvl="6" w:tplc="9B20826A">
      <w:numFmt w:val="bullet"/>
      <w:lvlText w:val="•"/>
      <w:lvlJc w:val="left"/>
      <w:pPr>
        <w:ind w:left="6403" w:hanging="360"/>
      </w:pPr>
      <w:rPr>
        <w:rFonts w:hint="default"/>
        <w:lang w:val="es-ES" w:eastAsia="en-US" w:bidi="ar-SA"/>
      </w:rPr>
    </w:lvl>
    <w:lvl w:ilvl="7" w:tplc="94CAAC54">
      <w:numFmt w:val="bullet"/>
      <w:lvlText w:val="•"/>
      <w:lvlJc w:val="left"/>
      <w:pPr>
        <w:ind w:left="7264" w:hanging="360"/>
      </w:pPr>
      <w:rPr>
        <w:rFonts w:hint="default"/>
        <w:lang w:val="es-ES" w:eastAsia="en-US" w:bidi="ar-SA"/>
      </w:rPr>
    </w:lvl>
    <w:lvl w:ilvl="8" w:tplc="95F2CF4C">
      <w:numFmt w:val="bullet"/>
      <w:lvlText w:val="•"/>
      <w:lvlJc w:val="left"/>
      <w:pPr>
        <w:ind w:left="8125" w:hanging="360"/>
      </w:pPr>
      <w:rPr>
        <w:rFonts w:hint="default"/>
        <w:lang w:val="es-ES" w:eastAsia="en-US" w:bidi="ar-SA"/>
      </w:rPr>
    </w:lvl>
  </w:abstractNum>
  <w:abstractNum w:abstractNumId="4">
    <w:nsid w:val="2F730597"/>
    <w:multiLevelType w:val="hybridMultilevel"/>
    <w:tmpl w:val="699E4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408DC"/>
    <w:multiLevelType w:val="hybridMultilevel"/>
    <w:tmpl w:val="1004D7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24974"/>
    <w:multiLevelType w:val="hybridMultilevel"/>
    <w:tmpl w:val="9634C190"/>
    <w:lvl w:ilvl="0" w:tplc="A218FE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2A"/>
    <w:rsid w:val="00025EAC"/>
    <w:rsid w:val="000511A4"/>
    <w:rsid w:val="00097506"/>
    <w:rsid w:val="000F072A"/>
    <w:rsid w:val="00135FE9"/>
    <w:rsid w:val="00145B43"/>
    <w:rsid w:val="0018611B"/>
    <w:rsid w:val="001A105B"/>
    <w:rsid w:val="001A2037"/>
    <w:rsid w:val="001B05CB"/>
    <w:rsid w:val="001C1739"/>
    <w:rsid w:val="001D721A"/>
    <w:rsid w:val="001E6139"/>
    <w:rsid w:val="001F39BE"/>
    <w:rsid w:val="00236521"/>
    <w:rsid w:val="002A45DB"/>
    <w:rsid w:val="002D1D45"/>
    <w:rsid w:val="002F4C9B"/>
    <w:rsid w:val="003042B7"/>
    <w:rsid w:val="0030577F"/>
    <w:rsid w:val="00326312"/>
    <w:rsid w:val="003271A7"/>
    <w:rsid w:val="00346E5C"/>
    <w:rsid w:val="00362093"/>
    <w:rsid w:val="00371DDF"/>
    <w:rsid w:val="0038683B"/>
    <w:rsid w:val="00390065"/>
    <w:rsid w:val="003A7331"/>
    <w:rsid w:val="003C138E"/>
    <w:rsid w:val="003E6483"/>
    <w:rsid w:val="003F656F"/>
    <w:rsid w:val="004308DA"/>
    <w:rsid w:val="004A2915"/>
    <w:rsid w:val="004C20AE"/>
    <w:rsid w:val="004C370D"/>
    <w:rsid w:val="004D4AEA"/>
    <w:rsid w:val="004E6BF3"/>
    <w:rsid w:val="004F3F44"/>
    <w:rsid w:val="005105CF"/>
    <w:rsid w:val="00521A24"/>
    <w:rsid w:val="00534012"/>
    <w:rsid w:val="005611BD"/>
    <w:rsid w:val="00585F1F"/>
    <w:rsid w:val="00587000"/>
    <w:rsid w:val="00587901"/>
    <w:rsid w:val="005909E9"/>
    <w:rsid w:val="005B2228"/>
    <w:rsid w:val="005D39E8"/>
    <w:rsid w:val="005E0C11"/>
    <w:rsid w:val="005E6742"/>
    <w:rsid w:val="00605052"/>
    <w:rsid w:val="00670902"/>
    <w:rsid w:val="0067345E"/>
    <w:rsid w:val="006B2B80"/>
    <w:rsid w:val="006B51BA"/>
    <w:rsid w:val="006C42D1"/>
    <w:rsid w:val="006E6376"/>
    <w:rsid w:val="00703A81"/>
    <w:rsid w:val="00711824"/>
    <w:rsid w:val="007440C4"/>
    <w:rsid w:val="00745661"/>
    <w:rsid w:val="00781E31"/>
    <w:rsid w:val="007938AE"/>
    <w:rsid w:val="007C731A"/>
    <w:rsid w:val="007D6DF3"/>
    <w:rsid w:val="0081739B"/>
    <w:rsid w:val="0081751A"/>
    <w:rsid w:val="00823199"/>
    <w:rsid w:val="008253BE"/>
    <w:rsid w:val="00840DCD"/>
    <w:rsid w:val="00844A43"/>
    <w:rsid w:val="00853ACA"/>
    <w:rsid w:val="00857F12"/>
    <w:rsid w:val="008854AA"/>
    <w:rsid w:val="008C0940"/>
    <w:rsid w:val="008C67B6"/>
    <w:rsid w:val="008C788C"/>
    <w:rsid w:val="008D36B0"/>
    <w:rsid w:val="008E0F60"/>
    <w:rsid w:val="008E60C2"/>
    <w:rsid w:val="009419BD"/>
    <w:rsid w:val="009456DB"/>
    <w:rsid w:val="00952296"/>
    <w:rsid w:val="0097047D"/>
    <w:rsid w:val="009A364E"/>
    <w:rsid w:val="009C3515"/>
    <w:rsid w:val="009E5420"/>
    <w:rsid w:val="00A07FA5"/>
    <w:rsid w:val="00A52559"/>
    <w:rsid w:val="00A529C9"/>
    <w:rsid w:val="00AB139B"/>
    <w:rsid w:val="00AD4CED"/>
    <w:rsid w:val="00AE78A3"/>
    <w:rsid w:val="00B1740C"/>
    <w:rsid w:val="00B74151"/>
    <w:rsid w:val="00B767C5"/>
    <w:rsid w:val="00B816AB"/>
    <w:rsid w:val="00B905D8"/>
    <w:rsid w:val="00B975CE"/>
    <w:rsid w:val="00BA27C4"/>
    <w:rsid w:val="00BF2C8C"/>
    <w:rsid w:val="00BF7570"/>
    <w:rsid w:val="00C10EE7"/>
    <w:rsid w:val="00C25CFC"/>
    <w:rsid w:val="00C31EE5"/>
    <w:rsid w:val="00C647C5"/>
    <w:rsid w:val="00C7122E"/>
    <w:rsid w:val="00C73AEF"/>
    <w:rsid w:val="00C96BA3"/>
    <w:rsid w:val="00CA090C"/>
    <w:rsid w:val="00CB3C7B"/>
    <w:rsid w:val="00CF42E2"/>
    <w:rsid w:val="00D31E5E"/>
    <w:rsid w:val="00D44FD5"/>
    <w:rsid w:val="00D5778F"/>
    <w:rsid w:val="00D6440E"/>
    <w:rsid w:val="00D81B0F"/>
    <w:rsid w:val="00D92271"/>
    <w:rsid w:val="00DA66FE"/>
    <w:rsid w:val="00DB1790"/>
    <w:rsid w:val="00DC1A40"/>
    <w:rsid w:val="00DC6D1A"/>
    <w:rsid w:val="00E11CB8"/>
    <w:rsid w:val="00E55668"/>
    <w:rsid w:val="00E739C1"/>
    <w:rsid w:val="00E93F1E"/>
    <w:rsid w:val="00EA5C1B"/>
    <w:rsid w:val="00ED6FD1"/>
    <w:rsid w:val="00EF59D9"/>
    <w:rsid w:val="00F0330F"/>
    <w:rsid w:val="00F54776"/>
    <w:rsid w:val="00F63AAA"/>
    <w:rsid w:val="00F71305"/>
    <w:rsid w:val="00FB2806"/>
    <w:rsid w:val="00F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35269"/>
  <w15:docId w15:val="{11357A6B-883C-4EC5-A3C2-724090A9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eX Gyre Bonum" w:eastAsia="TeX Gyre Bonum" w:hAnsi="TeX Gyre Bonum" w:cs="TeX Gyre Bonum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244" w:right="10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B22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228"/>
    <w:rPr>
      <w:rFonts w:ascii="Tahoma" w:eastAsia="TeX Gyre Bonum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2228"/>
    <w:rPr>
      <w:rFonts w:ascii="TeX Gyre Bonum" w:eastAsia="TeX Gyre Bonum" w:hAnsi="TeX Gyre Bonum" w:cs="TeX Gyre Bonum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228"/>
    <w:rPr>
      <w:rFonts w:ascii="TeX Gyre Bonum" w:eastAsia="TeX Gyre Bonum" w:hAnsi="TeX Gyre Bonum" w:cs="TeX Gyre Bonum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E78A3"/>
    <w:pPr>
      <w:widowControl/>
      <w:autoSpaceDE/>
      <w:autoSpaceDN/>
    </w:pPr>
    <w:rPr>
      <w:rFonts w:ascii="Calibri" w:eastAsia="Calibri" w:hAnsi="Calibri" w:cs="Arial"/>
      <w:sz w:val="20"/>
      <w:szCs w:val="20"/>
      <w:lang w:val="es-AR" w:eastAsia="es-A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78A3"/>
    <w:rPr>
      <w:rFonts w:ascii="Calibri" w:eastAsia="Calibri" w:hAnsi="Calibri" w:cs="Arial"/>
      <w:sz w:val="20"/>
      <w:szCs w:val="20"/>
      <w:lang w:val="es-AR" w:eastAsia="es-AR"/>
    </w:rPr>
  </w:style>
  <w:style w:type="character" w:styleId="Refdenotaalpie">
    <w:name w:val="footnote reference"/>
    <w:basedOn w:val="Fuentedeprrafopredeter"/>
    <w:uiPriority w:val="99"/>
    <w:semiHidden/>
    <w:unhideWhenUsed/>
    <w:rsid w:val="00AE78A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C17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9419BD"/>
    <w:pPr>
      <w:widowControl/>
      <w:adjustRightInd w:val="0"/>
    </w:pPr>
    <w:rPr>
      <w:rFonts w:ascii="EB Garamond" w:hAnsi="EB Garamond" w:cs="EB Garamond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adey@mailsenadoer.gob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65C21-0329-49EE-9E58-9F67F468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SENADO</cp:lastModifiedBy>
  <cp:revision>2</cp:revision>
  <dcterms:created xsi:type="dcterms:W3CDTF">2023-02-22T12:49:00Z</dcterms:created>
  <dcterms:modified xsi:type="dcterms:W3CDTF">2023-02-22T12:49:00Z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2020-06-23T00:00:00Z</vt:filetime>
  </property>
</Properties>
</file>