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88" w:rsidRDefault="00543688">
      <w:pPr>
        <w:pStyle w:val="Cuerpo"/>
        <w:spacing w:before="200" w:after="200" w:line="360" w:lineRule="auto"/>
        <w:jc w:val="center"/>
        <w:rPr>
          <w:rStyle w:val="Ninguno"/>
          <w:rFonts w:ascii="Century Gothic" w:hAnsi="Century Gothic"/>
          <w:b/>
          <w:bCs/>
          <w:sz w:val="24"/>
          <w:szCs w:val="24"/>
        </w:rPr>
      </w:pPr>
    </w:p>
    <w:p w:rsidR="00F07D1C" w:rsidRDefault="005B700D" w:rsidP="00F07D1C">
      <w:pPr>
        <w:pStyle w:val="Cuerpo"/>
        <w:spacing w:before="120" w:after="120" w:line="360" w:lineRule="auto"/>
        <w:jc w:val="center"/>
        <w:rPr>
          <w:rStyle w:val="Ninguno"/>
          <w:rFonts w:ascii="Century Gothic" w:hAnsi="Century Gothic"/>
          <w:b/>
          <w:bCs/>
          <w:sz w:val="24"/>
          <w:szCs w:val="24"/>
          <w:lang w:val="de-DE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LA LEGISLATURA DE LA PROVINCIA DE ENTRE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R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de-DE"/>
        </w:rPr>
        <w:t>OS</w:t>
      </w:r>
    </w:p>
    <w:p w:rsidR="00543688" w:rsidRDefault="005B700D" w:rsidP="00F07D1C">
      <w:pPr>
        <w:pStyle w:val="Cuerpo"/>
        <w:spacing w:before="120" w:after="120"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de-DE"/>
        </w:rPr>
        <w:t xml:space="preserve"> SANCIONA CON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FUERZA DE </w:t>
      </w:r>
    </w:p>
    <w:p w:rsidR="00543688" w:rsidRDefault="005B700D" w:rsidP="00F07D1C">
      <w:pPr>
        <w:pStyle w:val="Cuerpo"/>
        <w:spacing w:before="120" w:after="120" w:line="360" w:lineRule="auto"/>
        <w:jc w:val="center"/>
        <w:rPr>
          <w:rStyle w:val="Ninguno"/>
          <w:rFonts w:ascii="Century Gothic" w:hAnsi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LEY: </w:t>
      </w:r>
    </w:p>
    <w:p w:rsidR="00543688" w:rsidRDefault="005B700D" w:rsidP="00F07D1C">
      <w:pPr>
        <w:pStyle w:val="Cuerpo"/>
        <w:spacing w:before="120" w:after="120"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</w:rPr>
        <w:t>R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GIMEN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DE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MICROCR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DITOS</w:t>
      </w:r>
      <w:proofErr w:type="spellEnd"/>
    </w:p>
    <w:p w:rsidR="00543688" w:rsidRDefault="00543688">
      <w:pPr>
        <w:pStyle w:val="Cuerpo"/>
        <w:spacing w:before="200"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1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Cr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ase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el 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gimen Provincial de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 para el desarrollo de la 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 Social, que tiene como objeto la promoci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y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regulaci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del microcr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a fin de estimular el desarrollo integral de los emprendimientos de la 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a Social de la Provincia de Entre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 xml:space="preserve">os. </w:t>
      </w: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2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 los efectos de esta ley se entender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pt-PT"/>
        </w:rPr>
        <w:t>por microcr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aquellos pr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stamos destinados a financiar la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actividad de emprendimientos individuales o asociativos de la Econom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 Social, cuyo monto no exceda una suma equivalente a los DOCE (12) salarios 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nimo, vital y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vil.</w:t>
      </w: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3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Los sujetos de derecho alcanzados por la presente ley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</w:rPr>
        <w:t>ser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las personas h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umanas o jur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dicas contempladas en la Ley de Econom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 Social, y cuyos activos totales no superen las CINCUENTA (50) canastas b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sicas totales para el adulto equivalente hogar ejemplo, cifra actualizada por el INSTITUTO NACIONAL DE ESTAD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STICA Y CENSOS DE LA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REP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BLICA ARGENTINA (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INDEC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), por puesto de trabajo</w:t>
      </w: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sz w:val="24"/>
          <w:szCs w:val="24"/>
          <w:lang w:val="pt-PT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4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</w:rPr>
        <w:t>Ser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consideradas Instituciones de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 para el otorgamiento de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ditos las siguientes personas jur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dicas que brinden capacitaci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y asistencia 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cnica a los emprendimientos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de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Econom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a Social:</w:t>
      </w:r>
    </w:p>
    <w:p w:rsidR="00F07D1C" w:rsidRDefault="00F07D1C" w:rsidP="00F07D1C">
      <w:pPr>
        <w:pStyle w:val="Cuerpo"/>
        <w:spacing w:line="24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:rsidR="00543688" w:rsidRDefault="005B700D">
      <w:pPr>
        <w:pStyle w:val="Cuerpo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las asociaciones civiles sin fines de lucro;</w:t>
      </w:r>
    </w:p>
    <w:p w:rsidR="00543688" w:rsidRDefault="005B700D">
      <w:pPr>
        <w:pStyle w:val="Cuerpo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pt-PT"/>
        </w:rPr>
      </w:pPr>
      <w:proofErr w:type="gramStart"/>
      <w:r>
        <w:rPr>
          <w:rStyle w:val="Ninguno"/>
          <w:rFonts w:ascii="Century Gothic" w:hAnsi="Century Gothic"/>
          <w:sz w:val="24"/>
          <w:szCs w:val="24"/>
          <w:lang w:val="pt-PT"/>
        </w:rPr>
        <w:t>cooperativas</w:t>
      </w:r>
      <w:proofErr w:type="gramEnd"/>
      <w:r>
        <w:rPr>
          <w:rStyle w:val="Ninguno"/>
          <w:rFonts w:ascii="Century Gothic" w:hAnsi="Century Gothic"/>
          <w:sz w:val="24"/>
          <w:szCs w:val="24"/>
          <w:lang w:val="pt-PT"/>
        </w:rPr>
        <w:t xml:space="preserve">, </w:t>
      </w:r>
    </w:p>
    <w:p w:rsidR="00543688" w:rsidRDefault="005B700D">
      <w:pPr>
        <w:pStyle w:val="Cuerpo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mutuales, </w:t>
      </w:r>
    </w:p>
    <w:p w:rsidR="00543688" w:rsidRDefault="005B700D">
      <w:pPr>
        <w:pStyle w:val="Cuerpo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fundaciones, </w:t>
      </w:r>
    </w:p>
    <w:p w:rsidR="00543688" w:rsidRPr="00F07D1C" w:rsidRDefault="005B700D" w:rsidP="00F07D1C">
      <w:pPr>
        <w:pStyle w:val="Cuerpo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 w:rsidRPr="00F07D1C"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estado provincial, </w:t>
      </w:r>
    </w:p>
    <w:p w:rsidR="00F07D1C" w:rsidRDefault="00F07D1C" w:rsidP="00F07D1C">
      <w:pPr>
        <w:pStyle w:val="Cuerpo"/>
        <w:spacing w:line="360" w:lineRule="auto"/>
        <w:ind w:left="720"/>
        <w:jc w:val="both"/>
        <w:rPr>
          <w:rFonts w:ascii="Century Gothic" w:hAnsi="Century Gothic"/>
          <w:sz w:val="24"/>
          <w:szCs w:val="24"/>
          <w:lang w:val="es-ES_tradnl"/>
        </w:rPr>
      </w:pPr>
    </w:p>
    <w:p w:rsidR="00F07D1C" w:rsidRDefault="00F07D1C" w:rsidP="00F07D1C">
      <w:pPr>
        <w:pStyle w:val="Cuerpo"/>
        <w:spacing w:line="360" w:lineRule="auto"/>
        <w:ind w:left="720"/>
        <w:jc w:val="both"/>
        <w:rPr>
          <w:rFonts w:ascii="Century Gothic" w:hAnsi="Century Gothic"/>
          <w:sz w:val="24"/>
          <w:szCs w:val="24"/>
          <w:lang w:val="es-ES_tradnl"/>
        </w:rPr>
      </w:pPr>
    </w:p>
    <w:p w:rsidR="00F07D1C" w:rsidRDefault="00F07D1C" w:rsidP="00F07D1C">
      <w:pPr>
        <w:pStyle w:val="Cuerpo"/>
        <w:spacing w:line="360" w:lineRule="auto"/>
        <w:ind w:left="720"/>
        <w:jc w:val="both"/>
        <w:rPr>
          <w:rFonts w:ascii="Century Gothic" w:hAnsi="Century Gothic"/>
          <w:sz w:val="24"/>
          <w:szCs w:val="24"/>
          <w:lang w:val="es-ES_tradnl"/>
        </w:rPr>
      </w:pPr>
    </w:p>
    <w:p w:rsidR="00F07D1C" w:rsidRDefault="00F07D1C" w:rsidP="00F07D1C">
      <w:pPr>
        <w:pStyle w:val="Cuerpo"/>
        <w:spacing w:line="360" w:lineRule="auto"/>
        <w:ind w:left="720"/>
        <w:jc w:val="both"/>
        <w:rPr>
          <w:rFonts w:ascii="Century Gothic" w:hAnsi="Century Gothic"/>
          <w:sz w:val="24"/>
          <w:szCs w:val="24"/>
          <w:lang w:val="es-ES_tradnl"/>
        </w:rPr>
      </w:pPr>
    </w:p>
    <w:p w:rsidR="00543688" w:rsidRDefault="005B700D">
      <w:pPr>
        <w:pStyle w:val="Cuerpo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municipios y comunas,</w:t>
      </w:r>
    </w:p>
    <w:p w:rsidR="00543688" w:rsidRDefault="005B700D">
      <w:pPr>
        <w:pStyle w:val="Cuerpo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sociedades del estado, o mixtas con participaci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estatal mayoritaria,</w:t>
      </w:r>
    </w:p>
    <w:p w:rsidR="00543688" w:rsidRDefault="005B700D">
      <w:pPr>
        <w:pStyle w:val="Cuerpo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pt-PT"/>
        </w:rPr>
      </w:pPr>
      <w:proofErr w:type="gramStart"/>
      <w:r>
        <w:rPr>
          <w:rStyle w:val="Ninguno"/>
          <w:rFonts w:ascii="Century Gothic" w:hAnsi="Century Gothic"/>
          <w:sz w:val="24"/>
          <w:szCs w:val="24"/>
          <w:lang w:val="pt-PT"/>
        </w:rPr>
        <w:t>comunidades</w:t>
      </w:r>
      <w:proofErr w:type="gramEnd"/>
      <w:r>
        <w:rPr>
          <w:rStyle w:val="Ninguno"/>
          <w:rFonts w:ascii="Century Gothic" w:hAnsi="Century Gothic"/>
          <w:sz w:val="24"/>
          <w:szCs w:val="24"/>
          <w:lang w:val="pt-PT"/>
        </w:rPr>
        <w:t xml:space="preserve"> ind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pt-PT"/>
        </w:rPr>
        <w:t>genas.</w:t>
      </w: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5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Son objetivos de la presente ley:</w:t>
      </w:r>
    </w:p>
    <w:p w:rsidR="00543688" w:rsidRDefault="005B700D">
      <w:pPr>
        <w:pStyle w:val="Cuerpo"/>
        <w:numPr>
          <w:ilvl w:val="0"/>
          <w:numId w:val="4"/>
        </w:numPr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Fomentar la creaci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y consolidaci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 emprendimientos y proyectos de econom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a social en la provincia de Entre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os a trav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la herramienta de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ditos;</w:t>
      </w:r>
    </w:p>
    <w:p w:rsidR="00543688" w:rsidRDefault="005B700D">
      <w:pPr>
        <w:pStyle w:val="Cuerpo"/>
        <w:numPr>
          <w:ilvl w:val="0"/>
          <w:numId w:val="4"/>
        </w:numPr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Desarrollar mecanismos que agilicen las operatorias de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ditos fin de poder dar respuesta  eficaces a los tomadores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it-IT"/>
        </w:rPr>
        <w:t>dito;</w:t>
      </w:r>
    </w:p>
    <w:p w:rsidR="00543688" w:rsidRDefault="005B700D">
      <w:pPr>
        <w:pStyle w:val="Cuerpo"/>
        <w:numPr>
          <w:ilvl w:val="0"/>
          <w:numId w:val="4"/>
        </w:numPr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Promover el desarrollo del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dito y fortalecer las organizaciones que las implementen, mediante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asignaci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n de recursos no reembolsables, pr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stamos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, avales, asistencia 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cnica y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capacitaci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de-DE"/>
        </w:rPr>
        <w:t>n;</w:t>
      </w:r>
    </w:p>
    <w:p w:rsidR="00543688" w:rsidRDefault="005B700D">
      <w:pPr>
        <w:pStyle w:val="Cuerpo"/>
        <w:numPr>
          <w:ilvl w:val="0"/>
          <w:numId w:val="4"/>
        </w:numPr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Desarrollar mecanismos que  regulen y reduzcan los costos operativos e intereses que inciden sobre los destinatarios finales de los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ditos;</w:t>
      </w:r>
    </w:p>
    <w:p w:rsidR="00543688" w:rsidRDefault="005B700D">
      <w:pPr>
        <w:pStyle w:val="Cuerpo"/>
        <w:numPr>
          <w:ilvl w:val="0"/>
          <w:numId w:val="4"/>
        </w:numPr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Promover acciones que contribuyan a la sustentabilidad de los emprendimientos de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ec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onom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a social;</w:t>
      </w:r>
    </w:p>
    <w:p w:rsidR="00543688" w:rsidRDefault="005B700D">
      <w:pPr>
        <w:pStyle w:val="Cuerpo"/>
        <w:numPr>
          <w:ilvl w:val="0"/>
          <w:numId w:val="4"/>
        </w:numPr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Promocionar y promover el sector de la econom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 social, como asunto de inter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 provincial y municipal;</w:t>
      </w:r>
    </w:p>
    <w:p w:rsidR="00543688" w:rsidRDefault="005B700D">
      <w:pPr>
        <w:pStyle w:val="Cuerpo"/>
        <w:numPr>
          <w:ilvl w:val="0"/>
          <w:numId w:val="4"/>
        </w:numPr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Promover la sostenibilidad de las instituciones que contribuyan a la implementaci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del 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gimen, y que con su accionar permitan el acceso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al mismo por parte de los prestatarios finales previstos en la presente ley, estableciendo distintas formas de fortalecimiento tales como la posibilidad de financiamiento, asistencia 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cnica y capacitaci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a favor de las mismas.</w:t>
      </w:r>
    </w:p>
    <w:p w:rsidR="00F07D1C" w:rsidRDefault="00F07D1C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F07D1C" w:rsidRDefault="00F07D1C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F07D1C" w:rsidRDefault="00F07D1C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F07D1C" w:rsidRDefault="00F07D1C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6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La Autoridad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Aplicaci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n ser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Secretar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nl-NL"/>
        </w:rPr>
        <w:t>a de Econom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Social del Ministerio de Desarrollo Social de la Provincia de Entre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os.</w:t>
      </w:r>
    </w:p>
    <w:p w:rsidR="00543688" w:rsidRDefault="005B700D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7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sz w:val="24"/>
          <w:szCs w:val="24"/>
          <w:lang w:val="it-IT"/>
        </w:rPr>
        <w:t xml:space="preserve"> Cr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ase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, en el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mbito del Ministerio de Desarrollo Social, un fondo provincial para la ejecuci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del 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gimen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promoci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it-IT"/>
        </w:rPr>
        <w:t>n del</w:t>
      </w:r>
      <w:r>
        <w:rPr>
          <w:rStyle w:val="Ninguno"/>
          <w:rFonts w:ascii="Century Gothic" w:hAnsi="Century Gothic"/>
          <w:sz w:val="24"/>
          <w:szCs w:val="24"/>
          <w:lang w:val="it-IT"/>
        </w:rPr>
        <w:t xml:space="preserve">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it-IT"/>
        </w:rPr>
        <w:t xml:space="preserve">dito. </w:t>
      </w:r>
    </w:p>
    <w:p w:rsidR="00543688" w:rsidRDefault="005B700D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Dicho fondo ser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pt-PT"/>
        </w:rPr>
        <w:t>destinado a:</w:t>
      </w:r>
    </w:p>
    <w:p w:rsidR="00543688" w:rsidRDefault="005B700D">
      <w:pPr>
        <w:pStyle w:val="Cuerpo"/>
        <w:numPr>
          <w:ilvl w:val="0"/>
          <w:numId w:val="6"/>
        </w:numPr>
        <w:shd w:val="clear" w:color="auto" w:fill="FFFFFF"/>
        <w:spacing w:before="200" w:after="28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Capitalizar a las instituciones de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dito, mediante la asignaci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 fondos no reembolsables, pr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stamos dinerarios y avales, previa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evaluaci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n t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cnica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y operativa de las propuestas o proyectos institucionales; </w:t>
      </w:r>
    </w:p>
    <w:p w:rsidR="00543688" w:rsidRDefault="005B700D">
      <w:pPr>
        <w:pStyle w:val="Cuerpo"/>
        <w:numPr>
          <w:ilvl w:val="0"/>
          <w:numId w:val="6"/>
        </w:numPr>
        <w:shd w:val="clear" w:color="auto" w:fill="FFFFFF"/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Subsidiar total o parcialmente la tasa de inter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s, los gastos operativos y de asistencia 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cnica de las instituciones de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 que corresponda a las operaciones de su incumbencia;</w:t>
      </w:r>
    </w:p>
    <w:p w:rsidR="00543688" w:rsidRDefault="005B700D">
      <w:pPr>
        <w:pStyle w:val="Cuerpo"/>
        <w:numPr>
          <w:ilvl w:val="0"/>
          <w:numId w:val="6"/>
        </w:numPr>
        <w:shd w:val="clear" w:color="auto" w:fill="FFFFFF"/>
        <w:spacing w:before="200" w:after="28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For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talecer a las instituciones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it-IT"/>
        </w:rPr>
        <w:t>dito mediante la provisi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asistencia 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cnica, operativa y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capacitaci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 xml:space="preserve">n, en forma reembolsable o subsidiada. </w:t>
      </w:r>
    </w:p>
    <w:p w:rsidR="00543688" w:rsidRDefault="005B700D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8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El Fondo Provincial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Promoci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it-IT"/>
        </w:rPr>
        <w:t>n del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pt-PT"/>
        </w:rPr>
        <w:t>dito estar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integrado por las asignaciones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presupuestarias previstas en la presente ley y las que se establezcan en las respectivas Leyes de Presupuesto para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administraci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n provincial  de cada a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lang w:val="it-IT"/>
        </w:rPr>
        <w:t>o.</w:t>
      </w: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9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Las INSTITUCIONES DE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 recibir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aportes no reintegrables por parte de la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autoridad de aplicaci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con destino del financiamiento de emprendimientos de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econom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a social como as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tambi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n, deber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desarrollar programas de capacitaci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n, asistencia 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cnica y medici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de los resultados de su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aplicaci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n.</w:t>
      </w:r>
    </w:p>
    <w:p w:rsidR="00F07D1C" w:rsidRDefault="00F07D1C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F07D1C" w:rsidRDefault="00F07D1C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F07D1C" w:rsidRDefault="00F07D1C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F07D1C" w:rsidRDefault="00F07D1C">
      <w:pPr>
        <w:pStyle w:val="Cuerpo"/>
        <w:spacing w:before="20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10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La tasa de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inter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 contemplada para el otorgamiento de los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ditos ser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de un hasta 3%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inter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s anual.</w:t>
      </w: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11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La Autoridad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aplicaci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pt-PT"/>
        </w:rPr>
        <w:t>n, promover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la sostenibilidad de las instituciones de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 y el acceso al mismo por parte de los prestatario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 finales previstos en la presente ley, estableciendo programas de financiamiento, asistencia 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cnica, capacitaci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a favor de las mismas y la supervisi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 la operatoria. La metodolog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 de la operatoria se regir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por los manuales que dicte la autoridad d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aplicaci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n.</w:t>
      </w:r>
    </w:p>
    <w:p w:rsidR="00543688" w:rsidRDefault="005B700D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12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Para la rendici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 cuentas de las operatorias previstas en la presente ley deber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atenderse a las siguientes pautas:</w:t>
      </w:r>
    </w:p>
    <w:p w:rsidR="00543688" w:rsidRDefault="005B700D">
      <w:pPr>
        <w:pStyle w:val="Cuerpo"/>
        <w:numPr>
          <w:ilvl w:val="0"/>
          <w:numId w:val="8"/>
        </w:numPr>
        <w:shd w:val="clear" w:color="auto" w:fill="FFFFFF"/>
        <w:spacing w:before="200" w:after="28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Los fondos otorgados en car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cter de aporte no reintegrable a las instituciones de 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 se rendir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hasta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su primera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colocaci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de-DE"/>
        </w:rPr>
        <w:t>n d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ndose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este modo por concluida la rendici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 dicho fondo.</w:t>
      </w:r>
    </w:p>
    <w:p w:rsidR="00543688" w:rsidRDefault="005B700D">
      <w:pPr>
        <w:pStyle w:val="Cuerpo"/>
        <w:numPr>
          <w:ilvl w:val="0"/>
          <w:numId w:val="8"/>
        </w:numPr>
        <w:shd w:val="clear" w:color="auto" w:fill="FFFFFF"/>
        <w:spacing w:before="20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Los fondos para gastos operativos y recursos humanos de la instituci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n, se deber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rendir con comprobantes con validez fiscal. </w:t>
      </w:r>
    </w:p>
    <w:p w:rsidR="00543688" w:rsidRDefault="005B700D">
      <w:pPr>
        <w:pStyle w:val="Cuerpo"/>
        <w:numPr>
          <w:ilvl w:val="0"/>
          <w:numId w:val="8"/>
        </w:numPr>
        <w:shd w:val="clear" w:color="auto" w:fill="FFFFFF"/>
        <w:spacing w:before="200" w:after="28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Los fondos para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ditos se rinden co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los contratos de mutuo firmados por los emprendedores y con los informes 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cnicos de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Instituci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fr-FR"/>
        </w:rPr>
        <w:t xml:space="preserve">n de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fr-FR"/>
        </w:rPr>
        <w:t>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dito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que avale la inversi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de los emprendedores, que servir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de condici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suficiente para el cumplimiento del acto administrativo,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garantizando de este modo la transparencia de las registraciones y la necesaria agilidad en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gesti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n.</w:t>
      </w:r>
    </w:p>
    <w:p w:rsidR="00543688" w:rsidRDefault="005B700D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13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Las operaciones bancarias que guarden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relaci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it-IT"/>
        </w:rPr>
        <w:t>n con la operatoria de microcr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pt-PT"/>
        </w:rPr>
        <w:t>dito estar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exentas de impuestos provinciales.</w:t>
      </w:r>
    </w:p>
    <w:p w:rsidR="00F07D1C" w:rsidRDefault="00F07D1C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F07D1C" w:rsidRDefault="00F07D1C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F07D1C" w:rsidRDefault="00F07D1C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</w:pPr>
    </w:p>
    <w:p w:rsidR="00543688" w:rsidRDefault="005B700D">
      <w:pPr>
        <w:pStyle w:val="Cuerpo"/>
        <w:shd w:val="clear" w:color="auto" w:fill="FFFFFF"/>
        <w:spacing w:before="200" w:after="28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14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El Poder Ejecutivo reglamentar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la presente Ley, dentro de los treinta (30) d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as de su publicaci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en el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Bolet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n Oficial.</w:t>
      </w:r>
    </w:p>
    <w:p w:rsidR="00543688" w:rsidRDefault="005B700D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bookmarkStart w:id="0" w:name="_GoBack"/>
      <w:bookmarkEnd w:id="0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15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sz w:val="24"/>
          <w:szCs w:val="24"/>
          <w:lang w:val="de-DE"/>
        </w:rPr>
        <w:t xml:space="preserve"> Inv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tase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a los municipios a adherir a la pol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tica de otorgamiento de exenciones de impuestos y tasas en sus respectivas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jurisdicciones, como as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tambi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n a crear Fondos Provinciales o Municipales de Econom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a Social destinados a los mismos fines previstos en la presente ley. </w:t>
      </w:r>
    </w:p>
    <w:p w:rsidR="00543688" w:rsidRDefault="005B700D">
      <w:pPr>
        <w:pStyle w:val="Cuerpo"/>
        <w:spacing w:before="200" w:line="360" w:lineRule="auto"/>
        <w:jc w:val="both"/>
      </w:pP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de-DE"/>
        </w:rPr>
        <w:t>ART</w:t>
      </w:r>
      <w:proofErr w:type="spellStart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Í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CULO</w:t>
      </w:r>
      <w:proofErr w:type="spellEnd"/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 xml:space="preserve"> 16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  <w:lang w:val="es-ES_tradnl"/>
        </w:rPr>
        <w:t>°</w:t>
      </w:r>
      <w:r w:rsidRPr="00F07D1C">
        <w:rPr>
          <w:rStyle w:val="Ninguno"/>
          <w:rFonts w:ascii="Century Gothic" w:hAnsi="Century Gothic"/>
          <w:b/>
          <w:bCs/>
          <w:sz w:val="24"/>
          <w:szCs w:val="24"/>
          <w:u w:val="single"/>
        </w:rPr>
        <w:t>: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</w:rPr>
        <w:t>De forma.</w:t>
      </w:r>
      <w:r>
        <w:rPr>
          <w:rStyle w:val="Ninguno"/>
          <w:rFonts w:ascii="Arial Unicode MS" w:hAnsi="Arial Unicode MS"/>
        </w:rPr>
        <w:br w:type="page"/>
      </w:r>
    </w:p>
    <w:p w:rsidR="00543688" w:rsidRDefault="00543688">
      <w:pPr>
        <w:pStyle w:val="Cuerpo"/>
        <w:spacing w:before="20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:rsidR="00543688" w:rsidRDefault="00543688">
      <w:pPr>
        <w:pStyle w:val="Cuerpo"/>
        <w:spacing w:before="200" w:line="360" w:lineRule="auto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:rsidR="00543688" w:rsidRDefault="005B700D">
      <w:pPr>
        <w:pStyle w:val="Cuerpo"/>
        <w:spacing w:before="200"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FUNDAMENTOS</w:t>
      </w: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Las pol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ticas de promoci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y fomento de la 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a </w:t>
      </w:r>
      <w:proofErr w:type="gram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Social ,</w:t>
      </w:r>
      <w:proofErr w:type="gram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y de manera particular la implementaci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de propuestas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program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á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ticas de operatorias de microcr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han constituido un eje de gesti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con gran desarrollo en los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ltimos a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os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en el pa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 y de manera particular en la provincia de Entre 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os. Dichas operatori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as crediticias se ejecutaron y se ejecutan   conforme a los criterios  establecidos en la Ley Nacional  N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º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26.117</w:t>
      </w:r>
      <w:proofErr w:type="gram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,sancionada</w:t>
      </w:r>
      <w:proofErr w:type="spellEnd"/>
      <w:proofErr w:type="gram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el 28 de junio de 2006 y promulgada el 17 de julio de 2006, la cual establece la promoci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y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regulaci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n del microcr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a fin de a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umentar los ingresos a trav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s del autoempleo y/o emprendimientos familiares al sector de la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a Social, a trav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 la articulaci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de asistencia financiera, capacitaci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n, asistencia 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cnica y empoderamiento social. </w:t>
      </w: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fr-FR"/>
        </w:rPr>
        <w:t>En Entre 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os  con la sanci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la ley provincial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</w:rPr>
        <w:t>a Social  n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°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10.151 y la adhesi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a la ley Nacional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dito a trav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del Decreto N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°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9779/2007 permitieron el desarrollo de programas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ditos a trav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 los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consorcios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gesti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</w:rPr>
        <w:t>n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propiciando una disposici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es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trat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gica de la operatoria en 16 localidades entrerrianas.</w:t>
      </w: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Actualmente la propuesta  de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 ha comenzado a llevarse a cabo con Municipios y se prev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en el corto plazo poder ejecutarse a trav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s Organizaciones de la Sociedad Civil. Asimismo en la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provincia han sido financiados  Municipios y organizaciones de la sociedad civil con fondos Nacionales en el marco de la Comisi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Nacional de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ditos </w:t>
      </w:r>
      <w:proofErr w:type="gram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(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CONAMI</w:t>
      </w:r>
      <w:proofErr w:type="spellEnd"/>
      <w:proofErr w:type="gram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). La ley N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°  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</w:rPr>
        <w:t xml:space="preserve">26.117 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</w:rPr>
        <w:t>Promoci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n del Microcr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para el Desarrollo de la 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 Socia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l es la que regula estas operatorias </w:t>
      </w:r>
    </w:p>
    <w:p w:rsidR="00F07D1C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sectPr w:rsidR="00F07D1C" w:rsidSect="00F07D1C">
          <w:headerReference w:type="default" r:id="rId9"/>
          <w:pgSz w:w="11900" w:h="16840"/>
          <w:pgMar w:top="1133" w:right="1417" w:bottom="426" w:left="1417" w:header="720" w:footer="720" w:gutter="0"/>
          <w:pgNumType w:start="1"/>
          <w:cols w:space="720"/>
        </w:sect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La implementaci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de los programas de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ditos </w:t>
      </w:r>
      <w:proofErr w:type="gram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permiten</w:t>
      </w:r>
      <w:proofErr w:type="gram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un  proceso de construcci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colectiva, brindan un mecanismo de superaci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n, inclusi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y acompa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amiento a los emprendimientos familiares y emprendedores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autoem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pleados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partiendo de la fuerza propia, de la voluntad transformadora y de la organizaci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comunitaria. La misma permite la </w:t>
      </w: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</w:pP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</w:pP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proofErr w:type="gram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consolidaci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</w:t>
      </w:r>
      <w:proofErr w:type="gram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 un entramado de lazos de solidaridad y confianza a trav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 de su metodolog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 de implementaci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n. Esta modalidad trae b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eneficios tanto al emprendedor como a su familia, y a la comunidad a largo plazo, generando fuentes de empleo genuinas y sustentables. </w:t>
      </w: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 lo largo de los a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os la poblaci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de emprendedores ha ido creciendo,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ab/>
        <w:t>y su composici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radica fuertemente en personas e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xcluidas de la banca crediticia tradicional,  ya sea por falta de garant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as formales u otro tipo de exigencias financieras. Muchos de estos emprendedores se vinculan entre s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, comercian sus productos y prestan sus servicios en sus comunidades, generando un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circuito virtuoso para la 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a local y regional. </w:t>
      </w: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El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 no opera como subsidio, ya que el fondo que tiene este destino es de car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cter rotativo entre los emprendedores que son beneficiarios. Es decir que el dinero recuperado se vuelve a poner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a disposici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de otros emprendedores como nuevos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ditos.</w:t>
      </w: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Tampoco es un peque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o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 xml:space="preserve">dito, sino un </w:t>
      </w:r>
      <w:r>
        <w:rPr>
          <w:rStyle w:val="Ninguno"/>
          <w:rFonts w:ascii="Century Gothic" w:hAnsi="Century Gothic"/>
          <w:i/>
          <w:iCs/>
          <w:sz w:val="24"/>
          <w:szCs w:val="24"/>
          <w:shd w:val="clear" w:color="auto" w:fill="FFFFFF"/>
          <w:lang w:val="es-ES_tradnl"/>
        </w:rPr>
        <w:t xml:space="preserve">procedimiento </w:t>
      </w:r>
      <w:proofErr w:type="spellStart"/>
      <w:r>
        <w:rPr>
          <w:rStyle w:val="Ninguno"/>
          <w:rFonts w:ascii="Century Gothic" w:hAnsi="Century Gothic"/>
          <w:i/>
          <w:iCs/>
          <w:sz w:val="24"/>
          <w:szCs w:val="24"/>
          <w:shd w:val="clear" w:color="auto" w:fill="FFFFFF"/>
          <w:lang w:val="es-ES_tradnl"/>
        </w:rPr>
        <w:t>metodol</w:t>
      </w:r>
      <w:r>
        <w:rPr>
          <w:rStyle w:val="Ninguno"/>
          <w:rFonts w:ascii="Century Gothic" w:hAnsi="Century Gothic"/>
          <w:i/>
          <w:iCs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i/>
          <w:iCs/>
          <w:sz w:val="24"/>
          <w:szCs w:val="24"/>
          <w:shd w:val="clear" w:color="auto" w:fill="FFFFFF"/>
          <w:lang w:val="it-IT"/>
        </w:rPr>
        <w:t>gico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enmarcado en una pol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tica de fortalecimiento de los emprendimientos de la 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 social que brinda diferentes herramientas de ac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ompa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amiento para la inclusi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n, potenciaci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y desarrollo de este sector de la econom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a. Es un instrumento dirigido a reforzar el capital de trabajo de la unidad econ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mica en un primer paso, y luego en pasos sucesivos se propone reforzar el capital fijo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con 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quinas, herramientas e infraestructura productiva que mejoren la productividad de la unidad.</w:t>
      </w: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Es una herramienta que brinda 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 de renovaci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permanente y, en general, con una frecuencia de pago corta, con un esquema de garant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as flexibles y con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solidaridad social. En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relaci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n al per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odo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 devoluci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n, el mismo es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dise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ado conforme a cada l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nea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crediticia establecida para atender la amplia gama de emprendimientos.</w:t>
      </w: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de-DE"/>
        </w:rPr>
      </w:pP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de-DE"/>
        </w:rPr>
      </w:pP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de-DE"/>
        </w:rPr>
      </w:pP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de-DE"/>
        </w:rPr>
      </w:pP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de-DE"/>
        </w:rPr>
        <w:t>Es importante  se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alar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que la implementaci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de los programas de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 , (da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das las caracter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sticas  espec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ficas anteriormente descritas como fondos rotatorios), requieren de mecanismos de gesti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, administraci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 y rendici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 que aseguren la eficacia y transparencia. As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lo entiende a  nivel Nacional la Comisi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Nacional de Micr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 -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CO.NA.Mi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-  quien establece en su manual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rendici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 xml:space="preserve">n, mecanismos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giles y que aseguran a la vez los mecanismos de contralor correspondientes. En tal sentido  atento que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que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el objetivo de la operatoria  NO es un </w:t>
      </w:r>
      <w:proofErr w:type="gram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subsidio ,</w:t>
      </w:r>
      <w:proofErr w:type="gram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sino un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dito 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( es decir se devuelve)   para el emprendedor/a 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el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solo contrato de mutuo es  condici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suficiente requerimiento para su rendici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, acompa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ada por el Informe 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cnico que avale la inversi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del emprendedor. Por su parte para la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instituci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fr-FR"/>
        </w:rPr>
        <w:t xml:space="preserve">n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fr-FR"/>
        </w:rPr>
        <w:t>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los fondos para gastos operativos y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rrhh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, se deber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rendir  con comprobantes con validez fiscal, en tanto que los fondos para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 con  los contratos de mutuo  firmado por los emprendedores y los informes 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cnicos de la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Instituci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fr-FR"/>
        </w:rPr>
        <w:t xml:space="preserve">n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fr-FR"/>
        </w:rPr>
        <w:t>Microcr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d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ito que avale  la inversi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 los emprendedores.  </w:t>
      </w:r>
      <w:proofErr w:type="gram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Asimismo ,</w:t>
      </w:r>
      <w:proofErr w:type="gram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y en orden al objetivo propuesto la rendici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de los fondos de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 otorgados deber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rendirse solamente en la primera colocaci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 de los fondos, es decir no se debe rendir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sv-SE"/>
        </w:rPr>
        <w:t>ad eternum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”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los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recuperos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, dado que esto implicar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a que la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instituci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fr-FR"/>
        </w:rPr>
        <w:t xml:space="preserve">n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fr-FR"/>
        </w:rPr>
        <w:t>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no dejar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 nunca de rendir, lo cual sin duda es un escollo para dichas instituciones por la implicancia burocr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tica administrativa que significa manejar una cartera de fondos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peque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ñ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os. As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lo entiende  </w:t>
      </w:r>
      <w:proofErr w:type="gram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la</w:t>
      </w:r>
      <w:proofErr w:type="gram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Ley Nacional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ditos N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°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26.117 en su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Art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 xml:space="preserve">culo 18 expresa que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La supervisi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 la aplicaci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de los fondos otorgados para la constituci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n de las carteras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pt-PT"/>
        </w:rPr>
        <w:t>dito, oportunamente entregados a INSTITUCIONES DE MICROCR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O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, estar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a cargo de la Comisi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que se crea en el art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culo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4o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de la presente ley. </w:t>
      </w: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</w:pP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</w:pP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</w:pPr>
    </w:p>
    <w:p w:rsidR="00F07D1C" w:rsidRDefault="00F07D1C">
      <w:pPr>
        <w:pStyle w:val="Cuerpo"/>
        <w:spacing w:before="200" w:after="120" w:line="360" w:lineRule="auto"/>
        <w:jc w:val="both"/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</w:pPr>
    </w:p>
    <w:p w:rsidR="00543688" w:rsidRDefault="005B700D">
      <w:pPr>
        <w:pStyle w:val="Cuerpo"/>
        <w:spacing w:before="200" w:after="120" w:line="360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  <w:shd w:val="clear" w:color="auto" w:fill="FFFFFF"/>
        </w:rPr>
      </w:pP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Dicha supervisi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se extender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hasta que se complete la primera colocaci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de la totalidad de los fondos recibidos por la respectiva INSTITUCI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la que deber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presentar la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documentaci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respaldatoria del total de los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ditos otorgados,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</w:rPr>
        <w:t>ndose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</w:rPr>
        <w:t xml:space="preserve">  cumplida la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</w:rPr>
        <w:t>rendici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</w:rPr>
        <w:t>n.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La propuesta es llevar a cabo la modalidad de 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rendici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it-IT"/>
        </w:rPr>
        <w:t>n del fondo de microcr</w:t>
      </w:r>
      <w:proofErr w:type="spellStart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ditos</w:t>
      </w:r>
      <w:proofErr w:type="spellEnd"/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 tal como lo exige  la ley  Nacional de microcr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 xml:space="preserve">ditos, esto es 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solamente se rinde con la primera colocaci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shd w:val="clear" w:color="auto" w:fill="FFFFFF"/>
          <w:lang w:val="es-ES_tradnl"/>
        </w:rPr>
        <w:t>n de los fondos otorgados, y posteriormente solo se monitorea las operatorias para que cumplan con el objeto social de los fondos recibidos.</w:t>
      </w:r>
    </w:p>
    <w:p w:rsidR="00543688" w:rsidRDefault="005B700D">
      <w:pPr>
        <w:pStyle w:val="Cuerpo"/>
        <w:spacing w:line="360" w:lineRule="auto"/>
        <w:jc w:val="both"/>
      </w:pPr>
      <w:bookmarkStart w:id="1" w:name="_j0zll"/>
      <w:bookmarkEnd w:id="1"/>
      <w:r>
        <w:rPr>
          <w:rStyle w:val="Ninguno"/>
          <w:rFonts w:ascii="Century Gothic" w:hAnsi="Century Gothic"/>
          <w:sz w:val="24"/>
          <w:szCs w:val="24"/>
        </w:rPr>
        <w:t>E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 por todos estos fundamentos que remitimos el presente proyecto de ley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para su tratamiento. </w:t>
      </w:r>
    </w:p>
    <w:sectPr w:rsidR="00543688" w:rsidSect="00F07D1C">
      <w:pgSz w:w="11900" w:h="16840"/>
      <w:pgMar w:top="1133" w:right="1417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0D" w:rsidRDefault="005B700D">
      <w:r>
        <w:separator/>
      </w:r>
    </w:p>
  </w:endnote>
  <w:endnote w:type="continuationSeparator" w:id="0">
    <w:p w:rsidR="005B700D" w:rsidRDefault="005B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07" w:usb1="10000000" w:usb2="00000000" w:usb3="00000000" w:csb0="8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0D" w:rsidRDefault="005B700D">
      <w:r>
        <w:separator/>
      </w:r>
    </w:p>
  </w:footnote>
  <w:footnote w:type="continuationSeparator" w:id="0">
    <w:p w:rsidR="005B700D" w:rsidRDefault="005B7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1C" w:rsidRPr="00A012C2" w:rsidRDefault="00F07D1C" w:rsidP="00F07D1C">
    <w:pPr>
      <w:pStyle w:val="Encabezado"/>
      <w:jc w:val="right"/>
      <w:rPr>
        <w:rFonts w:ascii="English111 Vivace BT" w:hAnsi="English111 Vivace BT"/>
        <w:szCs w:val="28"/>
        <w:lang w:val="es-ES"/>
      </w:rPr>
    </w:pPr>
    <w:r w:rsidRPr="00A012C2">
      <w:rPr>
        <w:rFonts w:ascii="English111 Vivace BT" w:hAnsi="English111 Vivace BT"/>
        <w:szCs w:val="28"/>
        <w:lang w:val="es-ES"/>
      </w:rPr>
      <w:t>2022- “Las Malvinas son argentinas”</w:t>
    </w:r>
  </w:p>
  <w:p w:rsidR="00543688" w:rsidRDefault="005B700D">
    <w:pPr>
      <w:pStyle w:val="Encabezadoypi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AF81C2" wp14:editId="2A11BAB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B2"/>
    <w:multiLevelType w:val="hybridMultilevel"/>
    <w:tmpl w:val="C5E43C4E"/>
    <w:styleLink w:val="Estiloimportado4"/>
    <w:lvl w:ilvl="0" w:tplc="D8AE234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FC1B00">
      <w:start w:val="1"/>
      <w:numFmt w:val="lowerRoman"/>
      <w:lvlText w:val="%2)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14391E">
      <w:start w:val="1"/>
      <w:numFmt w:val="decimal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041F32">
      <w:start w:val="1"/>
      <w:numFmt w:val="lowerLetter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C4C97A">
      <w:start w:val="1"/>
      <w:numFmt w:val="lowerRoman"/>
      <w:lvlText w:val="(%5)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60A58">
      <w:start w:val="1"/>
      <w:numFmt w:val="decimal"/>
      <w:lvlText w:val="(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6AE45C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06B928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56715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5956D26"/>
    <w:multiLevelType w:val="hybridMultilevel"/>
    <w:tmpl w:val="16D67548"/>
    <w:styleLink w:val="Estiloimportado1"/>
    <w:lvl w:ilvl="0" w:tplc="CDFE17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A45DE0">
      <w:start w:val="1"/>
      <w:numFmt w:val="lowerRoman"/>
      <w:lvlText w:val="%2)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66F344">
      <w:start w:val="1"/>
      <w:numFmt w:val="decimal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2033FC">
      <w:start w:val="1"/>
      <w:numFmt w:val="lowerLetter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EA6D02">
      <w:start w:val="1"/>
      <w:numFmt w:val="lowerRoman"/>
      <w:lvlText w:val="(%5)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E75DC">
      <w:start w:val="1"/>
      <w:numFmt w:val="decimal"/>
      <w:lvlText w:val="(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868E4C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D8AA3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D4B13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B896D97"/>
    <w:multiLevelType w:val="hybridMultilevel"/>
    <w:tmpl w:val="177665D8"/>
    <w:styleLink w:val="Estiloimportado2"/>
    <w:lvl w:ilvl="0" w:tplc="78BADAA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241E30">
      <w:start w:val="1"/>
      <w:numFmt w:val="lowerRoman"/>
      <w:lvlText w:val="%2)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CD8DA">
      <w:start w:val="1"/>
      <w:numFmt w:val="decimal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6386E">
      <w:start w:val="1"/>
      <w:numFmt w:val="lowerLetter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ACF312">
      <w:start w:val="1"/>
      <w:numFmt w:val="lowerRoman"/>
      <w:lvlText w:val="(%5)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6A041A">
      <w:start w:val="1"/>
      <w:numFmt w:val="decimal"/>
      <w:lvlText w:val="(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EDF12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BEDE40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EC0A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78D4D3E"/>
    <w:multiLevelType w:val="hybridMultilevel"/>
    <w:tmpl w:val="41967188"/>
    <w:numStyleLink w:val="Estiloimportado3"/>
  </w:abstractNum>
  <w:abstractNum w:abstractNumId="4">
    <w:nsid w:val="40CA3D0B"/>
    <w:multiLevelType w:val="hybridMultilevel"/>
    <w:tmpl w:val="C5E43C4E"/>
    <w:numStyleLink w:val="Estiloimportado4"/>
  </w:abstractNum>
  <w:abstractNum w:abstractNumId="5">
    <w:nsid w:val="466F4C8F"/>
    <w:multiLevelType w:val="hybridMultilevel"/>
    <w:tmpl w:val="16D67548"/>
    <w:numStyleLink w:val="Estiloimportado1"/>
  </w:abstractNum>
  <w:abstractNum w:abstractNumId="6">
    <w:nsid w:val="69AC2E1D"/>
    <w:multiLevelType w:val="hybridMultilevel"/>
    <w:tmpl w:val="177665D8"/>
    <w:numStyleLink w:val="Estiloimportado2"/>
  </w:abstractNum>
  <w:abstractNum w:abstractNumId="7">
    <w:nsid w:val="7A961CE1"/>
    <w:multiLevelType w:val="hybridMultilevel"/>
    <w:tmpl w:val="41967188"/>
    <w:styleLink w:val="Estiloimportado3"/>
    <w:lvl w:ilvl="0" w:tplc="F260155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435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87946">
      <w:start w:val="1"/>
      <w:numFmt w:val="lowerRoman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4417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DE48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58F8D0">
      <w:start w:val="1"/>
      <w:numFmt w:val="lowerRoman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A03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3204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8AF8A6">
      <w:start w:val="1"/>
      <w:numFmt w:val="lowerRoman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3688"/>
    <w:rsid w:val="001710C2"/>
    <w:rsid w:val="00543688"/>
    <w:rsid w:val="005B700D"/>
    <w:rsid w:val="00F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paragraph" w:styleId="Encabezado">
    <w:name w:val="header"/>
    <w:basedOn w:val="Normal"/>
    <w:link w:val="EncabezadoCar"/>
    <w:uiPriority w:val="99"/>
    <w:unhideWhenUsed/>
    <w:rsid w:val="00F07D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D1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F07D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D1C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0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0C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paragraph" w:styleId="Encabezado">
    <w:name w:val="header"/>
    <w:basedOn w:val="Normal"/>
    <w:link w:val="EncabezadoCar"/>
    <w:uiPriority w:val="99"/>
    <w:unhideWhenUsed/>
    <w:rsid w:val="00F07D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D1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F07D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D1C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0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0C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9F4C-B028-4E44-9F6E-91F4A2F2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1961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Luffi</cp:lastModifiedBy>
  <cp:revision>2</cp:revision>
  <cp:lastPrinted>2022-09-30T12:33:00Z</cp:lastPrinted>
  <dcterms:created xsi:type="dcterms:W3CDTF">2022-09-30T12:34:00Z</dcterms:created>
  <dcterms:modified xsi:type="dcterms:W3CDTF">2022-09-30T12:34:00Z</dcterms:modified>
</cp:coreProperties>
</file>