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1EC" w:rsidRPr="00ED31EC" w:rsidRDefault="00ED31EC" w:rsidP="00ED31EC">
      <w:pPr>
        <w:tabs>
          <w:tab w:val="left" w:pos="9214"/>
          <w:tab w:val="left" w:pos="9356"/>
          <w:tab w:val="left" w:pos="9457"/>
          <w:tab w:val="left" w:pos="9639"/>
        </w:tabs>
        <w:spacing w:after="0" w:line="360" w:lineRule="auto"/>
        <w:jc w:val="both"/>
        <w:rPr>
          <w:rFonts w:ascii="Times New Roman" w:eastAsia="Times New Roman" w:hAnsi="Times New Roman" w:cs="Times New Roman"/>
          <w:b/>
          <w:sz w:val="24"/>
          <w:szCs w:val="24"/>
          <w:lang w:val="en-US"/>
        </w:rPr>
      </w:pPr>
      <w:r w:rsidRPr="00ED31EC">
        <w:rPr>
          <w:rFonts w:ascii="Times New Roman" w:eastAsia="Times New Roman" w:hAnsi="Times New Roman" w:cs="Times New Roman"/>
          <w:b/>
          <w:sz w:val="24"/>
          <w:szCs w:val="24"/>
          <w:lang w:val="en-US"/>
        </w:rPr>
        <w:t>HONORABLE SENADO:</w:t>
      </w:r>
    </w:p>
    <w:p w:rsidR="00ED31EC" w:rsidRDefault="00ED31EC" w:rsidP="00ED31EC">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n-US"/>
        </w:rPr>
      </w:pPr>
      <w:r w:rsidRPr="00ED31EC">
        <w:rPr>
          <w:rFonts w:ascii="Times New Roman" w:eastAsia="Times New Roman" w:hAnsi="Times New Roman" w:cs="Times New Roman"/>
          <w:sz w:val="24"/>
          <w:szCs w:val="24"/>
          <w:lang w:val="en-US"/>
        </w:rPr>
        <w:t>Vuestra</w:t>
      </w:r>
      <w:r>
        <w:rPr>
          <w:rFonts w:ascii="Times New Roman" w:eastAsia="Times New Roman" w:hAnsi="Times New Roman" w:cs="Times New Roman"/>
          <w:sz w:val="24"/>
          <w:szCs w:val="24"/>
          <w:lang w:val="en-US"/>
        </w:rPr>
        <w:t>s</w:t>
      </w:r>
      <w:r w:rsidRPr="00ED31EC">
        <w:rPr>
          <w:rFonts w:ascii="Times New Roman" w:eastAsia="Times New Roman" w:hAnsi="Times New Roman" w:cs="Times New Roman"/>
          <w:sz w:val="24"/>
          <w:szCs w:val="24"/>
          <w:lang w:val="en-US"/>
        </w:rPr>
        <w:t xml:space="preserve"> </w:t>
      </w:r>
      <w:r w:rsidR="00034DF8">
        <w:rPr>
          <w:rFonts w:ascii="Times New Roman" w:eastAsia="Times New Roman" w:hAnsi="Times New Roman" w:cs="Times New Roman"/>
          <w:b/>
          <w:sz w:val="24"/>
          <w:szCs w:val="24"/>
          <w:lang w:val="en-US"/>
        </w:rPr>
        <w:t>Comisiones</w:t>
      </w:r>
      <w:r w:rsidRPr="00ED31EC">
        <w:rPr>
          <w:rFonts w:ascii="Times New Roman" w:eastAsia="Times New Roman" w:hAnsi="Times New Roman" w:cs="Times New Roman"/>
          <w:b/>
          <w:sz w:val="24"/>
          <w:szCs w:val="24"/>
          <w:lang w:val="en-US"/>
        </w:rPr>
        <w:t xml:space="preserve"> de Salud Pública y Drogadicción</w:t>
      </w:r>
      <w:r>
        <w:rPr>
          <w:rFonts w:ascii="Times New Roman" w:eastAsia="Times New Roman" w:hAnsi="Times New Roman" w:cs="Times New Roman"/>
          <w:b/>
          <w:sz w:val="24"/>
          <w:szCs w:val="24"/>
          <w:lang w:val="en-US"/>
        </w:rPr>
        <w:t xml:space="preserve"> y de Legislación General</w:t>
      </w:r>
      <w:r w:rsidRPr="00ED31EC">
        <w:rPr>
          <w:rFonts w:ascii="Times New Roman" w:eastAsia="Times New Roman" w:hAnsi="Times New Roman" w:cs="Times New Roman"/>
          <w:sz w:val="24"/>
          <w:szCs w:val="24"/>
          <w:lang w:val="en-US"/>
        </w:rPr>
        <w:t xml:space="preserve"> ha</w:t>
      </w:r>
      <w:r>
        <w:rPr>
          <w:rFonts w:ascii="Times New Roman" w:eastAsia="Times New Roman" w:hAnsi="Times New Roman" w:cs="Times New Roman"/>
          <w:sz w:val="24"/>
          <w:szCs w:val="24"/>
          <w:lang w:val="en-US"/>
        </w:rPr>
        <w:t>n</w:t>
      </w:r>
      <w:r w:rsidRPr="00ED31EC">
        <w:rPr>
          <w:rFonts w:ascii="Times New Roman" w:eastAsia="Times New Roman" w:hAnsi="Times New Roman" w:cs="Times New Roman"/>
          <w:sz w:val="24"/>
          <w:szCs w:val="24"/>
          <w:lang w:val="en-US"/>
        </w:rPr>
        <w:t xml:space="preserve"> considerado, el Proyecto de Ley contenido en el </w:t>
      </w:r>
      <w:r w:rsidRPr="00ED31EC">
        <w:rPr>
          <w:rFonts w:ascii="Times New Roman" w:eastAsia="Times New Roman" w:hAnsi="Times New Roman" w:cs="Times New Roman"/>
          <w:b/>
          <w:bCs/>
          <w:sz w:val="24"/>
          <w:szCs w:val="24"/>
          <w:lang w:val="en-US"/>
        </w:rPr>
        <w:t xml:space="preserve">Expediente N° </w:t>
      </w:r>
      <w:r>
        <w:rPr>
          <w:rFonts w:ascii="Times New Roman" w:eastAsia="Times New Roman" w:hAnsi="Times New Roman" w:cs="Times New Roman"/>
          <w:b/>
          <w:bCs/>
          <w:sz w:val="24"/>
          <w:szCs w:val="24"/>
          <w:lang w:val="en-US"/>
        </w:rPr>
        <w:t>13.699</w:t>
      </w:r>
      <w:r w:rsidRPr="00ED31EC">
        <w:rPr>
          <w:rFonts w:ascii="Times New Roman" w:eastAsia="Times New Roman" w:hAnsi="Times New Roman" w:cs="Times New Roman"/>
          <w:b/>
          <w:bCs/>
          <w:sz w:val="24"/>
          <w:szCs w:val="24"/>
          <w:lang w:val="en-US"/>
        </w:rPr>
        <w:t xml:space="preserve">, </w:t>
      </w:r>
      <w:r w:rsidRPr="00ED31EC">
        <w:rPr>
          <w:rFonts w:ascii="Times New Roman" w:eastAsia="Times New Roman" w:hAnsi="Times New Roman" w:cs="Times New Roman"/>
          <w:bCs/>
          <w:sz w:val="24"/>
          <w:szCs w:val="24"/>
          <w:lang w:val="en-US"/>
        </w:rPr>
        <w:t xml:space="preserve">de </w:t>
      </w:r>
      <w:r w:rsidRPr="00ED31EC">
        <w:rPr>
          <w:rFonts w:ascii="Times New Roman" w:eastAsia="Times New Roman" w:hAnsi="Times New Roman" w:cs="Times New Roman"/>
          <w:sz w:val="24"/>
          <w:szCs w:val="24"/>
          <w:lang w:val="en-US"/>
        </w:rPr>
        <w:t>autoría de</w:t>
      </w:r>
      <w:r>
        <w:rPr>
          <w:rFonts w:ascii="Times New Roman" w:eastAsia="Times New Roman" w:hAnsi="Times New Roman" w:cs="Times New Roman"/>
          <w:sz w:val="24"/>
          <w:szCs w:val="24"/>
          <w:lang w:val="en-US"/>
        </w:rPr>
        <w:t xml:space="preserve"> los Senadores Amavet y Maradey</w:t>
      </w:r>
      <w:r w:rsidRPr="00ED31EC">
        <w:rPr>
          <w:rFonts w:ascii="Times New Roman" w:eastAsia="Times New Roman" w:hAnsi="Times New Roman" w:cs="Times New Roman"/>
          <w:sz w:val="24"/>
          <w:szCs w:val="24"/>
          <w:lang w:val="en-US"/>
        </w:rPr>
        <w:t xml:space="preserve">, por el que se </w:t>
      </w:r>
      <w:r w:rsidR="00826B34">
        <w:rPr>
          <w:rFonts w:ascii="Times New Roman" w:eastAsia="Times New Roman" w:hAnsi="Times New Roman" w:cs="Times New Roman"/>
          <w:sz w:val="24"/>
          <w:szCs w:val="24"/>
        </w:rPr>
        <w:t>establece</w:t>
      </w:r>
      <w:r w:rsidR="00B25018" w:rsidRPr="00B25018">
        <w:rPr>
          <w:rFonts w:ascii="Times New Roman" w:eastAsia="Times New Roman" w:hAnsi="Times New Roman" w:cs="Times New Roman"/>
          <w:sz w:val="24"/>
          <w:szCs w:val="24"/>
        </w:rPr>
        <w:t xml:space="preserve"> la </w:t>
      </w:r>
      <w:r w:rsidR="007F7FE6">
        <w:rPr>
          <w:rFonts w:ascii="Times New Roman" w:eastAsia="Times New Roman" w:hAnsi="Times New Roman" w:cs="Times New Roman"/>
          <w:sz w:val="24"/>
          <w:szCs w:val="24"/>
        </w:rPr>
        <w:t>obligatoriedad del cobro y</w:t>
      </w:r>
      <w:r w:rsidR="00B25018" w:rsidRPr="00B25018">
        <w:rPr>
          <w:rFonts w:ascii="Times New Roman" w:eastAsia="Times New Roman" w:hAnsi="Times New Roman" w:cs="Times New Roman"/>
          <w:sz w:val="24"/>
          <w:szCs w:val="24"/>
        </w:rPr>
        <w:t xml:space="preserve"> recupero financiero por parte de los establecimientos asistenciales de Salud Pública de la Provincia</w:t>
      </w:r>
      <w:r w:rsidR="00B25018" w:rsidRPr="00B25018">
        <w:rPr>
          <w:rFonts w:ascii="Times New Roman" w:eastAsia="Times New Roman" w:hAnsi="Times New Roman" w:cs="Times New Roman"/>
          <w:b/>
          <w:sz w:val="24"/>
          <w:szCs w:val="24"/>
        </w:rPr>
        <w:t xml:space="preserve"> </w:t>
      </w:r>
      <w:r w:rsidR="00B25018" w:rsidRPr="00B25018">
        <w:rPr>
          <w:rFonts w:ascii="Times New Roman" w:eastAsia="Times New Roman" w:hAnsi="Times New Roman" w:cs="Times New Roman"/>
          <w:sz w:val="24"/>
          <w:szCs w:val="24"/>
        </w:rPr>
        <w:t>-Efectores Públicos- en concepto de servicios brindados a personas beneficiarias comprendidas en subsistemas de salud</w:t>
      </w:r>
      <w:r w:rsidRPr="00ED31EC">
        <w:rPr>
          <w:rFonts w:ascii="Times New Roman" w:eastAsia="Times New Roman" w:hAnsi="Times New Roman" w:cs="Times New Roman"/>
          <w:sz w:val="24"/>
          <w:szCs w:val="24"/>
          <w:lang w:val="en-US"/>
        </w:rPr>
        <w:t xml:space="preserve">, </w:t>
      </w:r>
      <w:r w:rsidRPr="00ED31EC">
        <w:rPr>
          <w:rFonts w:ascii="Times New Roman" w:eastAsia="Times New Roman" w:hAnsi="Times New Roman" w:cs="Times New Roman"/>
          <w:bCs/>
          <w:sz w:val="24"/>
          <w:szCs w:val="24"/>
          <w:lang w:val="es-ES"/>
        </w:rPr>
        <w:t>c</w:t>
      </w:r>
      <w:r w:rsidRPr="00ED31EC">
        <w:rPr>
          <w:rFonts w:ascii="Times New Roman" w:eastAsia="Times New Roman" w:hAnsi="Times New Roman" w:cs="Times New Roman"/>
          <w:bCs/>
          <w:sz w:val="24"/>
          <w:szCs w:val="24"/>
          <w:lang w:val="en-US"/>
        </w:rPr>
        <w:t xml:space="preserve">uyo texto fuera aprobado en </w:t>
      </w:r>
      <w:r w:rsidR="00826B34">
        <w:rPr>
          <w:rFonts w:ascii="Times New Roman" w:eastAsia="Times New Roman" w:hAnsi="Times New Roman" w:cs="Times New Roman"/>
          <w:bCs/>
          <w:sz w:val="24"/>
          <w:szCs w:val="24"/>
          <w:lang w:val="en-US"/>
        </w:rPr>
        <w:t xml:space="preserve">la </w:t>
      </w:r>
      <w:r w:rsidRPr="00ED31EC">
        <w:rPr>
          <w:rFonts w:ascii="Times New Roman" w:eastAsia="Times New Roman" w:hAnsi="Times New Roman" w:cs="Times New Roman"/>
          <w:bCs/>
          <w:sz w:val="24"/>
          <w:szCs w:val="24"/>
          <w:lang w:val="en-US"/>
        </w:rPr>
        <w:t>reunión de Comisión realizada el día 0</w:t>
      </w:r>
      <w:r w:rsidR="00B25018">
        <w:rPr>
          <w:rFonts w:ascii="Times New Roman" w:eastAsia="Times New Roman" w:hAnsi="Times New Roman" w:cs="Times New Roman"/>
          <w:bCs/>
          <w:sz w:val="24"/>
          <w:szCs w:val="24"/>
          <w:lang w:val="en-US"/>
        </w:rPr>
        <w:t xml:space="preserve">6 de abril de </w:t>
      </w:r>
      <w:r w:rsidRPr="00ED31EC">
        <w:rPr>
          <w:rFonts w:ascii="Times New Roman" w:eastAsia="Times New Roman" w:hAnsi="Times New Roman" w:cs="Times New Roman"/>
          <w:bCs/>
          <w:sz w:val="24"/>
          <w:szCs w:val="24"/>
          <w:lang w:val="en-US"/>
        </w:rPr>
        <w:t>202</w:t>
      </w:r>
      <w:r w:rsidR="00B25018">
        <w:rPr>
          <w:rFonts w:ascii="Times New Roman" w:eastAsia="Times New Roman" w:hAnsi="Times New Roman" w:cs="Times New Roman"/>
          <w:bCs/>
          <w:sz w:val="24"/>
          <w:szCs w:val="24"/>
          <w:lang w:val="en-US"/>
        </w:rPr>
        <w:t>2</w:t>
      </w:r>
      <w:r w:rsidRPr="00ED31EC">
        <w:rPr>
          <w:rFonts w:ascii="Times New Roman" w:eastAsia="Times New Roman" w:hAnsi="Times New Roman" w:cs="Times New Roman"/>
          <w:bCs/>
          <w:sz w:val="24"/>
          <w:szCs w:val="24"/>
          <w:lang w:val="en-US"/>
        </w:rPr>
        <w:t xml:space="preserve">, en la modalidad establecida por la Resolución Nº 026 HCS -141º Período Legislativo -No Presencial-. El Secretario Adjunto de Comisiones, </w:t>
      </w:r>
      <w:r w:rsidR="0074168C">
        <w:rPr>
          <w:rFonts w:ascii="Times New Roman" w:eastAsia="Times New Roman" w:hAnsi="Times New Roman" w:cs="Times New Roman"/>
          <w:bCs/>
          <w:sz w:val="24"/>
          <w:szCs w:val="24"/>
          <w:lang w:val="en-US"/>
        </w:rPr>
        <w:t>Dr. José Francisco Umedez, da fe</w:t>
      </w:r>
      <w:r w:rsidR="0074168C" w:rsidRPr="0074168C">
        <w:rPr>
          <w:rFonts w:ascii="Times New Roman" w:eastAsia="Times New Roman" w:hAnsi="Times New Roman" w:cs="Times New Roman"/>
          <w:bCs/>
          <w:sz w:val="24"/>
          <w:szCs w:val="24"/>
        </w:rPr>
        <w:t xml:space="preserve"> de la adhesión de los integrantes de las Comisiones en cantidad suficiente para alcanzar la mayoría que avalan el presente texto normativo</w:t>
      </w:r>
      <w:r w:rsidRPr="00ED31EC">
        <w:rPr>
          <w:rFonts w:ascii="Times New Roman" w:eastAsia="Times New Roman" w:hAnsi="Times New Roman" w:cs="Times New Roman"/>
          <w:bCs/>
          <w:sz w:val="24"/>
          <w:szCs w:val="24"/>
          <w:lang w:val="en-US"/>
        </w:rPr>
        <w:t>, y por las razones que dará su miembro informante, aconseja</w:t>
      </w:r>
      <w:r w:rsidR="0074168C">
        <w:rPr>
          <w:rFonts w:ascii="Times New Roman" w:eastAsia="Times New Roman" w:hAnsi="Times New Roman" w:cs="Times New Roman"/>
          <w:bCs/>
          <w:sz w:val="24"/>
          <w:szCs w:val="24"/>
          <w:lang w:val="en-US"/>
        </w:rPr>
        <w:t>n</w:t>
      </w:r>
      <w:r w:rsidRPr="00ED31EC">
        <w:rPr>
          <w:rFonts w:ascii="Times New Roman" w:eastAsia="Times New Roman" w:hAnsi="Times New Roman" w:cs="Times New Roman"/>
          <w:bCs/>
          <w:sz w:val="24"/>
          <w:szCs w:val="24"/>
          <w:lang w:val="en-US"/>
        </w:rPr>
        <w:t xml:space="preserve"> su aprobación con las modificaciones introducidas. </w:t>
      </w:r>
    </w:p>
    <w:p w:rsidR="0044717C" w:rsidRDefault="009D4DDE" w:rsidP="009D4DDE">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sidRPr="009D4DDE">
        <w:rPr>
          <w:rFonts w:ascii="Times New Roman" w:eastAsia="Times New Roman" w:hAnsi="Times New Roman" w:cs="Times New Roman"/>
          <w:b/>
          <w:bCs/>
          <w:sz w:val="24"/>
          <w:szCs w:val="24"/>
          <w:lang w:val="es-ES"/>
        </w:rPr>
        <w:t>LA LEGISLATURA DE LA PROVINCIA DE ENTRE RÍOS</w:t>
      </w:r>
    </w:p>
    <w:p w:rsidR="0044717C" w:rsidRDefault="009D4DDE" w:rsidP="009D4DDE">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 </w:t>
      </w:r>
      <w:r w:rsidRPr="009D4DDE">
        <w:rPr>
          <w:rFonts w:ascii="Times New Roman" w:eastAsia="Times New Roman" w:hAnsi="Times New Roman" w:cs="Times New Roman"/>
          <w:b/>
          <w:bCs/>
          <w:sz w:val="24"/>
          <w:szCs w:val="24"/>
          <w:lang w:val="es-ES"/>
        </w:rPr>
        <w:t>SANCIONA CON FUERZA DE</w:t>
      </w:r>
    </w:p>
    <w:p w:rsidR="009D4DDE" w:rsidRDefault="009D4DDE" w:rsidP="009D4DDE">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 LEY</w:t>
      </w:r>
      <w:r w:rsidR="0044717C">
        <w:rPr>
          <w:rFonts w:ascii="Times New Roman" w:eastAsia="Times New Roman" w:hAnsi="Times New Roman" w:cs="Times New Roman"/>
          <w:b/>
          <w:bCs/>
          <w:sz w:val="24"/>
          <w:szCs w:val="24"/>
          <w:lang w:val="es-ES"/>
        </w:rPr>
        <w:t>:</w:t>
      </w:r>
    </w:p>
    <w:p w:rsidR="0044717C" w:rsidRDefault="0044717C" w:rsidP="0044717C">
      <w:pPr>
        <w:shd w:val="clear" w:color="auto" w:fill="FFFFFF"/>
        <w:tabs>
          <w:tab w:val="left" w:pos="9214"/>
          <w:tab w:val="left" w:pos="9356"/>
          <w:tab w:val="left" w:pos="9457"/>
          <w:tab w:val="left" w:pos="9639"/>
        </w:tabs>
        <w:spacing w:after="0" w:line="276" w:lineRule="auto"/>
        <w:jc w:val="center"/>
        <w:rPr>
          <w:rFonts w:ascii="Times New Roman" w:eastAsia="Times New Roman" w:hAnsi="Times New Roman" w:cs="Times New Roman"/>
          <w:b/>
          <w:bCs/>
          <w:sz w:val="24"/>
          <w:szCs w:val="24"/>
          <w:lang w:val="es-ES"/>
        </w:rPr>
      </w:pPr>
    </w:p>
    <w:p w:rsidR="009D4DDE" w:rsidRDefault="001039A1" w:rsidP="0044717C">
      <w:pPr>
        <w:shd w:val="clear" w:color="auto" w:fill="FFFFFF"/>
        <w:tabs>
          <w:tab w:val="left" w:pos="9214"/>
          <w:tab w:val="left" w:pos="9356"/>
          <w:tab w:val="left" w:pos="9457"/>
          <w:tab w:val="left" w:pos="9639"/>
        </w:tabs>
        <w:spacing w:after="0" w:line="276" w:lineRule="auto"/>
        <w:jc w:val="center"/>
        <w:rPr>
          <w:rFonts w:ascii="Times New Roman" w:hAnsi="Times New Roman" w:cs="Times New Roman"/>
          <w:b/>
          <w:sz w:val="24"/>
          <w:szCs w:val="24"/>
        </w:rPr>
      </w:pPr>
      <w:r w:rsidRPr="009027DE">
        <w:rPr>
          <w:rFonts w:ascii="Times New Roman" w:hAnsi="Times New Roman" w:cs="Times New Roman"/>
          <w:b/>
          <w:sz w:val="24"/>
          <w:szCs w:val="24"/>
        </w:rPr>
        <w:t>Ley de Arancelamiento y Recupero Financiero del Sistema de Salud Provincial</w:t>
      </w:r>
    </w:p>
    <w:p w:rsidR="001039A1" w:rsidRDefault="001039A1" w:rsidP="0044717C">
      <w:pPr>
        <w:shd w:val="clear" w:color="auto" w:fill="FFFFFF"/>
        <w:tabs>
          <w:tab w:val="left" w:pos="9214"/>
          <w:tab w:val="left" w:pos="9356"/>
          <w:tab w:val="left" w:pos="9457"/>
          <w:tab w:val="left" w:pos="9639"/>
        </w:tabs>
        <w:spacing w:after="0" w:line="276" w:lineRule="auto"/>
        <w:jc w:val="center"/>
        <w:rPr>
          <w:rFonts w:ascii="Times New Roman" w:hAnsi="Times New Roman" w:cs="Times New Roman"/>
          <w:b/>
          <w:sz w:val="24"/>
          <w:szCs w:val="24"/>
        </w:rPr>
      </w:pPr>
      <w:r w:rsidRPr="009027DE">
        <w:rPr>
          <w:rFonts w:ascii="Times New Roman" w:hAnsi="Times New Roman" w:cs="Times New Roman"/>
          <w:b/>
          <w:sz w:val="24"/>
          <w:szCs w:val="24"/>
        </w:rPr>
        <w:t>Sistema Informático de Gestión y Control de Recupero Hospitalario (SIGCRH</w:t>
      </w:r>
      <w:r w:rsidRPr="00CB637D">
        <w:rPr>
          <w:rFonts w:ascii="Times New Roman" w:hAnsi="Times New Roman" w:cs="Times New Roman"/>
          <w:b/>
          <w:sz w:val="24"/>
          <w:szCs w:val="24"/>
        </w:rPr>
        <w:t>)</w:t>
      </w:r>
    </w:p>
    <w:p w:rsidR="009D4DDE" w:rsidRDefault="009D4DDE" w:rsidP="0044717C">
      <w:pPr>
        <w:shd w:val="clear" w:color="auto" w:fill="FFFFFF"/>
        <w:tabs>
          <w:tab w:val="left" w:pos="9214"/>
          <w:tab w:val="left" w:pos="9356"/>
          <w:tab w:val="left" w:pos="9457"/>
          <w:tab w:val="left" w:pos="9639"/>
        </w:tabs>
        <w:spacing w:after="0" w:line="276" w:lineRule="auto"/>
        <w:jc w:val="center"/>
        <w:rPr>
          <w:rFonts w:ascii="Times New Roman" w:hAnsi="Times New Roman" w:cs="Times New Roman"/>
          <w:b/>
          <w:sz w:val="24"/>
          <w:szCs w:val="24"/>
          <w:u w:val="single"/>
        </w:rPr>
      </w:pPr>
    </w:p>
    <w:p w:rsidR="001039A1" w:rsidRPr="009027DE" w:rsidRDefault="001039A1" w:rsidP="005721E9">
      <w:pPr>
        <w:spacing w:line="360" w:lineRule="auto"/>
        <w:jc w:val="center"/>
        <w:rPr>
          <w:rFonts w:ascii="Times New Roman" w:hAnsi="Times New Roman" w:cs="Times New Roman"/>
          <w:b/>
          <w:sz w:val="24"/>
          <w:szCs w:val="24"/>
        </w:rPr>
      </w:pPr>
      <w:r w:rsidRPr="009027DE">
        <w:rPr>
          <w:rFonts w:ascii="Times New Roman" w:hAnsi="Times New Roman" w:cs="Times New Roman"/>
          <w:b/>
          <w:sz w:val="24"/>
          <w:szCs w:val="24"/>
        </w:rPr>
        <w:t>CAPÍTULO I</w:t>
      </w:r>
    </w:p>
    <w:p w:rsidR="001039A1" w:rsidRPr="009027DE" w:rsidRDefault="001039A1" w:rsidP="005721E9">
      <w:pPr>
        <w:spacing w:line="360" w:lineRule="auto"/>
        <w:jc w:val="center"/>
        <w:rPr>
          <w:rFonts w:ascii="Times New Roman" w:hAnsi="Times New Roman" w:cs="Times New Roman"/>
          <w:b/>
          <w:sz w:val="24"/>
          <w:szCs w:val="24"/>
        </w:rPr>
      </w:pPr>
      <w:r w:rsidRPr="009027DE">
        <w:rPr>
          <w:rFonts w:ascii="Times New Roman" w:hAnsi="Times New Roman" w:cs="Times New Roman"/>
          <w:b/>
          <w:sz w:val="24"/>
          <w:szCs w:val="24"/>
        </w:rPr>
        <w:t>Régimen general</w:t>
      </w:r>
    </w:p>
    <w:p w:rsidR="001039A1" w:rsidRPr="001039A1" w:rsidRDefault="001039A1" w:rsidP="005721E9">
      <w:pPr>
        <w:spacing w:line="360" w:lineRule="auto"/>
        <w:jc w:val="both"/>
        <w:rPr>
          <w:rFonts w:ascii="Times New Roman" w:hAnsi="Times New Roman" w:cs="Times New Roman"/>
          <w:sz w:val="24"/>
          <w:szCs w:val="24"/>
        </w:rPr>
      </w:pPr>
      <w:r>
        <w:rPr>
          <w:rFonts w:ascii="Times New Roman" w:hAnsi="Times New Roman" w:cs="Times New Roman"/>
          <w:b/>
          <w:sz w:val="24"/>
          <w:szCs w:val="24"/>
        </w:rPr>
        <w:t>ARTÍ</w:t>
      </w:r>
      <w:r w:rsidRPr="001039A1">
        <w:rPr>
          <w:rFonts w:ascii="Times New Roman" w:hAnsi="Times New Roman" w:cs="Times New Roman"/>
          <w:b/>
          <w:sz w:val="24"/>
          <w:szCs w:val="24"/>
        </w:rPr>
        <w:t>CULO 1°:</w:t>
      </w:r>
      <w:r w:rsidRPr="001039A1">
        <w:rPr>
          <w:rFonts w:ascii="Times New Roman" w:hAnsi="Times New Roman" w:cs="Times New Roman"/>
          <w:sz w:val="24"/>
          <w:szCs w:val="24"/>
        </w:rPr>
        <w:t xml:space="preserve"> </w:t>
      </w:r>
      <w:r w:rsidRPr="005721E9">
        <w:rPr>
          <w:rFonts w:ascii="Times New Roman" w:hAnsi="Times New Roman" w:cs="Times New Roman"/>
          <w:b/>
          <w:sz w:val="24"/>
          <w:szCs w:val="24"/>
        </w:rPr>
        <w:t>Objeto.</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 xml:space="preserve">La presente Ley, tiene como objeto establecer la </w:t>
      </w:r>
      <w:r w:rsidR="007F7FE6">
        <w:rPr>
          <w:rFonts w:ascii="Times New Roman" w:hAnsi="Times New Roman" w:cs="Times New Roman"/>
          <w:sz w:val="24"/>
          <w:szCs w:val="24"/>
        </w:rPr>
        <w:t>obligatoriedad del cobro y</w:t>
      </w:r>
      <w:r w:rsidRPr="001039A1">
        <w:rPr>
          <w:rFonts w:ascii="Times New Roman" w:hAnsi="Times New Roman" w:cs="Times New Roman"/>
          <w:sz w:val="24"/>
          <w:szCs w:val="24"/>
        </w:rPr>
        <w:t xml:space="preserve"> recupero financiero por parte de los establecimientos asistenciales de Salud Pública de la Provincia</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-Efectores Públicos- en concepto de servicios brindados a personas beneficiarias comprendidas en subsistemas de salud, tales como obras sociales, mutuales, empresas de medicina prepaga, seguros de accidentes, administradoras de riesgos de trabajo u otras</w:t>
      </w:r>
      <w:r w:rsidR="00CB637D">
        <w:rPr>
          <w:rFonts w:ascii="Times New Roman" w:hAnsi="Times New Roman" w:cs="Times New Roman"/>
          <w:sz w:val="24"/>
          <w:szCs w:val="24"/>
        </w:rPr>
        <w:t xml:space="preserve"> entidades similares</w:t>
      </w:r>
      <w:r w:rsidR="005721E9">
        <w:rPr>
          <w:rFonts w:ascii="Times New Roman" w:hAnsi="Times New Roman" w:cs="Times New Roman"/>
          <w:sz w:val="24"/>
          <w:szCs w:val="24"/>
        </w:rPr>
        <w:t>.</w:t>
      </w:r>
      <w:r w:rsidRPr="001039A1">
        <w:rPr>
          <w:rFonts w:ascii="Times New Roman" w:hAnsi="Times New Roman" w:cs="Times New Roman"/>
          <w:sz w:val="24"/>
          <w:szCs w:val="24"/>
        </w:rPr>
        <w:t xml:space="preserve"> </w:t>
      </w:r>
      <w:r w:rsidRPr="001039A1">
        <w:rPr>
          <w:rFonts w:ascii="Times New Roman" w:hAnsi="Times New Roman" w:cs="Times New Roman"/>
          <w:b/>
          <w:sz w:val="24"/>
          <w:szCs w:val="24"/>
        </w:rPr>
        <w:t xml:space="preserve">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2°: </w:t>
      </w:r>
      <w:r w:rsidRPr="005721E9">
        <w:rPr>
          <w:rFonts w:ascii="Times New Roman" w:hAnsi="Times New Roman" w:cs="Times New Roman"/>
          <w:b/>
          <w:sz w:val="24"/>
          <w:szCs w:val="24"/>
        </w:rPr>
        <w:t>Principio general: Gratuidad en las prestaciones</w:t>
      </w:r>
      <w:r w:rsidRPr="007F7FE6">
        <w:rPr>
          <w:rFonts w:ascii="Times New Roman" w:hAnsi="Times New Roman" w:cs="Times New Roman"/>
          <w:b/>
          <w:sz w:val="24"/>
          <w:szCs w:val="24"/>
        </w:rPr>
        <w:t>.</w:t>
      </w:r>
      <w:r w:rsidRPr="001039A1">
        <w:rPr>
          <w:rFonts w:ascii="Times New Roman" w:hAnsi="Times New Roman" w:cs="Times New Roman"/>
          <w:sz w:val="24"/>
          <w:szCs w:val="24"/>
        </w:rPr>
        <w:t xml:space="preserve"> Se establece que los servicios asistenciales brindados por los Efectores Públicos de la Provincia serán gratuitos para todas aquellas </w:t>
      </w:r>
      <w:r w:rsidRPr="001039A1">
        <w:rPr>
          <w:rFonts w:ascii="Times New Roman" w:hAnsi="Times New Roman" w:cs="Times New Roman"/>
          <w:sz w:val="24"/>
          <w:szCs w:val="24"/>
        </w:rPr>
        <w:lastRenderedPageBreak/>
        <w:t>personas que así lo requieran,</w:t>
      </w:r>
      <w:r w:rsidR="007F7FE6">
        <w:rPr>
          <w:rFonts w:ascii="Times New Roman" w:hAnsi="Times New Roman" w:cs="Times New Roman"/>
          <w:sz w:val="24"/>
          <w:szCs w:val="24"/>
        </w:rPr>
        <w:t xml:space="preserve"> </w:t>
      </w:r>
      <w:r w:rsidRPr="007F7FE6">
        <w:rPr>
          <w:rFonts w:ascii="Times New Roman" w:hAnsi="Times New Roman" w:cs="Times New Roman"/>
          <w:sz w:val="24"/>
          <w:szCs w:val="24"/>
        </w:rPr>
        <w:t>q</w:t>
      </w:r>
      <w:r w:rsidRPr="001039A1">
        <w:rPr>
          <w:rFonts w:ascii="Times New Roman" w:hAnsi="Times New Roman" w:cs="Times New Roman"/>
          <w:sz w:val="24"/>
          <w:szCs w:val="24"/>
        </w:rPr>
        <w:t>ue no posean recursos suficientes para cubrir los costos r</w:t>
      </w:r>
      <w:r w:rsidR="007F7FE6">
        <w:rPr>
          <w:rFonts w:ascii="Times New Roman" w:hAnsi="Times New Roman" w:cs="Times New Roman"/>
          <w:sz w:val="24"/>
          <w:szCs w:val="24"/>
        </w:rPr>
        <w:t>esultantes de tal atención y que</w:t>
      </w:r>
      <w:r w:rsidRPr="001039A1">
        <w:rPr>
          <w:rFonts w:ascii="Times New Roman" w:hAnsi="Times New Roman" w:cs="Times New Roman"/>
          <w:sz w:val="24"/>
          <w:szCs w:val="24"/>
        </w:rPr>
        <w:t xml:space="preserve"> no cuenten con cobertura social de ninguna Entidad.</w:t>
      </w:r>
      <w:r w:rsidRPr="001039A1">
        <w:rPr>
          <w:rFonts w:ascii="Times New Roman" w:hAnsi="Times New Roman" w:cs="Times New Roman"/>
          <w:b/>
          <w:sz w:val="24"/>
          <w:szCs w:val="24"/>
        </w:rPr>
        <w:t xml:space="preserve">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3°: </w:t>
      </w:r>
      <w:r w:rsidRPr="005721E9">
        <w:rPr>
          <w:rFonts w:ascii="Times New Roman" w:hAnsi="Times New Roman" w:cs="Times New Roman"/>
          <w:b/>
          <w:sz w:val="24"/>
          <w:szCs w:val="24"/>
        </w:rPr>
        <w:t>Personas con cobertura socia</w:t>
      </w:r>
      <w:r w:rsidRPr="007F7FE6">
        <w:rPr>
          <w:rFonts w:ascii="Times New Roman" w:hAnsi="Times New Roman" w:cs="Times New Roman"/>
          <w:b/>
          <w:sz w:val="24"/>
          <w:szCs w:val="24"/>
        </w:rPr>
        <w:t>l.</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 xml:space="preserve">Las personas con cobertura social, que concurran para su atención a los Efectores Públicos de la Provincia serán atendidas y recibirán los servicios asistenciales que brinde el efector, sin perjuicio de la obligación del mismo, de implementar el sistema de recupero de las sumas erogadas en la atención de las y los pacientes, de conformidad a la presente normativa.  </w:t>
      </w:r>
      <w:r w:rsidRPr="001039A1">
        <w:rPr>
          <w:rFonts w:ascii="Times New Roman" w:hAnsi="Times New Roman" w:cs="Times New Roman"/>
          <w:sz w:val="24"/>
          <w:szCs w:val="24"/>
        </w:rPr>
        <w:br/>
      </w:r>
      <w:r w:rsidRPr="001039A1">
        <w:rPr>
          <w:rFonts w:ascii="Times New Roman" w:hAnsi="Times New Roman" w:cs="Times New Roman"/>
          <w:b/>
          <w:sz w:val="24"/>
          <w:szCs w:val="24"/>
        </w:rPr>
        <w:t>ARTÍCULO 4°:</w:t>
      </w:r>
      <w:r w:rsidRPr="001039A1">
        <w:rPr>
          <w:rFonts w:ascii="Times New Roman" w:hAnsi="Times New Roman" w:cs="Times New Roman"/>
          <w:sz w:val="24"/>
          <w:szCs w:val="24"/>
        </w:rPr>
        <w:t xml:space="preserve"> </w:t>
      </w:r>
      <w:r w:rsidRPr="005721E9">
        <w:rPr>
          <w:rFonts w:ascii="Times New Roman" w:hAnsi="Times New Roman" w:cs="Times New Roman"/>
          <w:b/>
          <w:sz w:val="24"/>
          <w:szCs w:val="24"/>
        </w:rPr>
        <w:t xml:space="preserve">Personas sin cobertura y con recursos económicos. </w:t>
      </w:r>
      <w:r w:rsidRPr="001039A1">
        <w:rPr>
          <w:rFonts w:ascii="Times New Roman" w:hAnsi="Times New Roman" w:cs="Times New Roman"/>
          <w:sz w:val="24"/>
          <w:szCs w:val="24"/>
        </w:rPr>
        <w:t xml:space="preserve">Las personas que concurran a los Efectores Públicos de la Provincia que no tuvieren cobertura social pero posean recursos suficientes  para  cubrir  los  costos  resultantes  de  la atención brindada en el efector, serán atendidas debiendo oblar, al momento de su externación, los aranceles correspondientes.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5°: </w:t>
      </w:r>
      <w:r w:rsidRPr="005721E9">
        <w:rPr>
          <w:rFonts w:ascii="Times New Roman" w:hAnsi="Times New Roman" w:cs="Times New Roman"/>
          <w:b/>
          <w:sz w:val="24"/>
          <w:szCs w:val="24"/>
        </w:rPr>
        <w:t>Evaluación socioeconómica.</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Los Efectores Públicos deberán verificar la situación socioeconómica de cada persona beneficiaria del sistema, sin perjuicio de la atención brindada que deberá ser inmediata y no podrá estar condicionada en ningún caso, a la finalización de la evaluación requerida.</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6°:</w:t>
      </w:r>
      <w:r w:rsidRPr="001039A1">
        <w:rPr>
          <w:rFonts w:ascii="Times New Roman" w:hAnsi="Times New Roman" w:cs="Times New Roman"/>
          <w:sz w:val="24"/>
          <w:szCs w:val="24"/>
        </w:rPr>
        <w:t xml:space="preserve"> </w:t>
      </w:r>
      <w:r w:rsidRPr="005721E9">
        <w:rPr>
          <w:rFonts w:ascii="Times New Roman" w:hAnsi="Times New Roman" w:cs="Times New Roman"/>
          <w:b/>
          <w:sz w:val="24"/>
          <w:szCs w:val="24"/>
        </w:rPr>
        <w:t>Obligatoriedad de facturar servicios asistenciales</w:t>
      </w:r>
      <w:r w:rsidRPr="00BD2404">
        <w:rPr>
          <w:rFonts w:ascii="Times New Roman" w:hAnsi="Times New Roman" w:cs="Times New Roman"/>
          <w:b/>
          <w:sz w:val="24"/>
          <w:szCs w:val="24"/>
        </w:rPr>
        <w:t>.</w:t>
      </w:r>
      <w:r w:rsidRPr="001039A1">
        <w:rPr>
          <w:rFonts w:ascii="Times New Roman" w:hAnsi="Times New Roman" w:cs="Times New Roman"/>
          <w:sz w:val="24"/>
          <w:szCs w:val="24"/>
        </w:rPr>
        <w:t xml:space="preserve"> Los servicios asistenciales brindados a personas con cobertura social deberán ser facturados por los Efectores Públicos conforme al sistema de arancelamiento previsto en la presente normativa</w:t>
      </w:r>
      <w:r w:rsidR="00BD2404">
        <w:rPr>
          <w:rFonts w:ascii="Times New Roman" w:hAnsi="Times New Roman" w:cs="Times New Roman"/>
          <w:sz w:val="24"/>
          <w:szCs w:val="24"/>
        </w:rPr>
        <w:t>.</w:t>
      </w:r>
      <w:r w:rsidRPr="001039A1">
        <w:rPr>
          <w:rFonts w:ascii="Times New Roman" w:hAnsi="Times New Roman" w:cs="Times New Roman"/>
          <w:sz w:val="24"/>
          <w:szCs w:val="24"/>
        </w:rPr>
        <w:t xml:space="preserve">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 xml:space="preserve">Se consideran servicios asistenciales todos los comprendidos en la atención médica integral de las personas beneficiarias, insumos, gastos sanatoriales, honorarios profesionales, etc.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7°: </w:t>
      </w:r>
      <w:r w:rsidRPr="005721E9">
        <w:rPr>
          <w:rFonts w:ascii="Times New Roman" w:hAnsi="Times New Roman" w:cs="Times New Roman"/>
          <w:b/>
          <w:sz w:val="24"/>
          <w:szCs w:val="24"/>
        </w:rPr>
        <w:t>Creación del SIGCRH.</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 xml:space="preserve">Crease el </w:t>
      </w:r>
      <w:r w:rsidRPr="005721E9">
        <w:rPr>
          <w:rFonts w:ascii="Times New Roman" w:hAnsi="Times New Roman" w:cs="Times New Roman"/>
          <w:sz w:val="24"/>
          <w:szCs w:val="24"/>
        </w:rPr>
        <w:t>Sistema Informático de Gestión y Control de Recupero Hospitalario (SIGCRH)</w:t>
      </w:r>
      <w:r w:rsidRPr="001039A1">
        <w:rPr>
          <w:rFonts w:ascii="Times New Roman" w:hAnsi="Times New Roman" w:cs="Times New Roman"/>
          <w:sz w:val="24"/>
          <w:szCs w:val="24"/>
        </w:rPr>
        <w:t xml:space="preserve"> el cual funcionará en el ámbito de la Subsecretaría de Administración del Ministerio de Salud de la Provincia, o el organismo que en un futuro lo reemplace.</w:t>
      </w:r>
    </w:p>
    <w:p w:rsidR="001039A1" w:rsidRPr="001039A1" w:rsidRDefault="001039A1" w:rsidP="005721E9">
      <w:pPr>
        <w:spacing w:line="360" w:lineRule="auto"/>
        <w:jc w:val="both"/>
        <w:rPr>
          <w:rFonts w:ascii="Times New Roman" w:hAnsi="Times New Roman" w:cs="Times New Roman"/>
          <w:b/>
          <w:sz w:val="24"/>
          <w:szCs w:val="24"/>
        </w:rPr>
      </w:pPr>
      <w:r w:rsidRPr="001039A1">
        <w:rPr>
          <w:rFonts w:ascii="Times New Roman" w:hAnsi="Times New Roman" w:cs="Times New Roman"/>
          <w:sz w:val="24"/>
          <w:szCs w:val="24"/>
        </w:rPr>
        <w:t>Son funciones del SIGCRH</w:t>
      </w:r>
      <w:r w:rsidRPr="001039A1">
        <w:rPr>
          <w:rFonts w:ascii="Times New Roman" w:hAnsi="Times New Roman" w:cs="Times New Roman"/>
          <w:b/>
          <w:sz w:val="24"/>
          <w:szCs w:val="24"/>
        </w:rPr>
        <w:t>:</w:t>
      </w:r>
    </w:p>
    <w:p w:rsidR="001039A1" w:rsidRPr="001039A1" w:rsidRDefault="001039A1" w:rsidP="005721E9">
      <w:pPr>
        <w:numPr>
          <w:ilvl w:val="0"/>
          <w:numId w:val="2"/>
        </w:num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Sistematizar la identificación de las personas con cobertura;</w:t>
      </w:r>
    </w:p>
    <w:p w:rsidR="001039A1" w:rsidRPr="001039A1" w:rsidRDefault="001039A1" w:rsidP="005721E9">
      <w:pPr>
        <w:numPr>
          <w:ilvl w:val="0"/>
          <w:numId w:val="2"/>
        </w:num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Garantizar la actualización periódica de los nomencladores;</w:t>
      </w:r>
    </w:p>
    <w:p w:rsidR="001039A1" w:rsidRPr="001039A1" w:rsidRDefault="001039A1" w:rsidP="005721E9">
      <w:pPr>
        <w:numPr>
          <w:ilvl w:val="0"/>
          <w:numId w:val="2"/>
        </w:num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Facturar los servicios asistenciales brindados por cada efector público;</w:t>
      </w:r>
    </w:p>
    <w:p w:rsidR="001039A1" w:rsidRPr="001039A1" w:rsidRDefault="001039A1" w:rsidP="005721E9">
      <w:pPr>
        <w:numPr>
          <w:ilvl w:val="0"/>
          <w:numId w:val="2"/>
        </w:num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 xml:space="preserve">Incorporar los convenios especiales; </w:t>
      </w:r>
    </w:p>
    <w:p w:rsidR="001039A1" w:rsidRPr="001039A1" w:rsidRDefault="001039A1" w:rsidP="005721E9">
      <w:pPr>
        <w:numPr>
          <w:ilvl w:val="0"/>
          <w:numId w:val="2"/>
        </w:num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Generar informes semestrales del proceso de gestión.</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8°: </w:t>
      </w:r>
      <w:r w:rsidRPr="005721E9">
        <w:rPr>
          <w:rFonts w:ascii="Times New Roman" w:hAnsi="Times New Roman" w:cs="Times New Roman"/>
          <w:b/>
          <w:sz w:val="24"/>
          <w:szCs w:val="24"/>
        </w:rPr>
        <w:t>Obligación de informar padrones de personas beneficiarias.</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 xml:space="preserve">Las Entidades y tercerías obligadas deberán acreditar los padrones de personas beneficiarias con derecho a cobertura asistencial en la Provincia. Esta información deberá incorporarse al SIGCRH. La periodicidad y el formato serán establecidos por la autoridad de aplicación de la presente normativa.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9°: </w:t>
      </w:r>
      <w:r w:rsidRPr="005721E9">
        <w:rPr>
          <w:rFonts w:ascii="Times New Roman" w:hAnsi="Times New Roman" w:cs="Times New Roman"/>
          <w:b/>
          <w:sz w:val="24"/>
          <w:szCs w:val="24"/>
        </w:rPr>
        <w:t>Obligación de pago por servicios prestados</w:t>
      </w:r>
      <w:r w:rsidRPr="001039A1">
        <w:rPr>
          <w:rFonts w:ascii="Times New Roman" w:hAnsi="Times New Roman" w:cs="Times New Roman"/>
          <w:sz w:val="24"/>
          <w:szCs w:val="24"/>
        </w:rPr>
        <w:t xml:space="preserve">. Las Entidades tienen la obligación de pagar las prestaciones que hayan recibido sus beneficiarios por parte del sistema provincial de salud pública, siendo inoponible cualquier circunstancia relativa a la relación contractual entre la Entidad y la persona beneficiaria. Todo ello, sin perjuicio de la existencia de convenio específico con la Entidad obligada.      </w:t>
      </w:r>
    </w:p>
    <w:p w:rsid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10: </w:t>
      </w:r>
      <w:r w:rsidRPr="00C81AF1">
        <w:rPr>
          <w:rFonts w:ascii="Times New Roman" w:hAnsi="Times New Roman" w:cs="Times New Roman"/>
          <w:b/>
          <w:sz w:val="24"/>
          <w:szCs w:val="24"/>
        </w:rPr>
        <w:t>Entidades excluidas.</w:t>
      </w:r>
      <w:r w:rsidRPr="001039A1">
        <w:rPr>
          <w:rFonts w:ascii="Times New Roman" w:hAnsi="Times New Roman" w:cs="Times New Roman"/>
          <w:sz w:val="24"/>
          <w:szCs w:val="24"/>
        </w:rPr>
        <w:t xml:space="preserve"> Queda expresamente excluida la aplicabilidad de la presente normativa al Instituto de Obra Social de la Provincia de Entre Ríos (IOSPER) y al Instituto Nacional de Servicios Sociales para Jubilados y Pensionados (PAMI), subsistiendo la obligatoriedad de cargar al SIGCRH</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las prestaciones realizadas a las personas que resultasen beneficiarias de los mismos,  a los fines de llevar un cómputo real de la situación prestacional en general.</w:t>
      </w:r>
    </w:p>
    <w:p w:rsidR="005721E9" w:rsidRDefault="005721E9" w:rsidP="005721E9">
      <w:pPr>
        <w:spacing w:line="360" w:lineRule="auto"/>
        <w:jc w:val="both"/>
        <w:rPr>
          <w:rFonts w:ascii="Times New Roman" w:hAnsi="Times New Roman" w:cs="Times New Roman"/>
          <w:sz w:val="24"/>
          <w:szCs w:val="24"/>
        </w:rPr>
      </w:pPr>
    </w:p>
    <w:p w:rsidR="001039A1" w:rsidRPr="009027DE" w:rsidRDefault="001039A1" w:rsidP="005721E9">
      <w:pPr>
        <w:spacing w:line="360" w:lineRule="auto"/>
        <w:jc w:val="center"/>
        <w:rPr>
          <w:rFonts w:ascii="Times New Roman" w:hAnsi="Times New Roman" w:cs="Times New Roman"/>
          <w:b/>
          <w:sz w:val="24"/>
          <w:szCs w:val="24"/>
        </w:rPr>
      </w:pPr>
      <w:r w:rsidRPr="009027DE">
        <w:rPr>
          <w:rFonts w:ascii="Times New Roman" w:hAnsi="Times New Roman" w:cs="Times New Roman"/>
          <w:b/>
          <w:sz w:val="24"/>
          <w:szCs w:val="24"/>
        </w:rPr>
        <w:t>CAPÍTULO II</w:t>
      </w:r>
    </w:p>
    <w:p w:rsidR="001039A1" w:rsidRPr="009027DE" w:rsidRDefault="001039A1" w:rsidP="005721E9">
      <w:pPr>
        <w:spacing w:line="360" w:lineRule="auto"/>
        <w:jc w:val="center"/>
        <w:rPr>
          <w:rFonts w:ascii="Times New Roman" w:hAnsi="Times New Roman" w:cs="Times New Roman"/>
          <w:b/>
          <w:sz w:val="24"/>
          <w:szCs w:val="24"/>
        </w:rPr>
      </w:pPr>
      <w:r w:rsidRPr="009027DE">
        <w:rPr>
          <w:rFonts w:ascii="Times New Roman" w:hAnsi="Times New Roman" w:cs="Times New Roman"/>
          <w:b/>
          <w:sz w:val="24"/>
          <w:szCs w:val="24"/>
        </w:rPr>
        <w:t>Procedimiento</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11:</w:t>
      </w:r>
      <w:r w:rsidRPr="001039A1">
        <w:rPr>
          <w:rFonts w:ascii="Times New Roman" w:hAnsi="Times New Roman" w:cs="Times New Roman"/>
          <w:sz w:val="24"/>
          <w:szCs w:val="24"/>
        </w:rPr>
        <w:t xml:space="preserve"> </w:t>
      </w:r>
      <w:r w:rsidRPr="00C81AF1">
        <w:rPr>
          <w:rFonts w:ascii="Times New Roman" w:hAnsi="Times New Roman" w:cs="Times New Roman"/>
          <w:b/>
          <w:sz w:val="24"/>
          <w:szCs w:val="24"/>
        </w:rPr>
        <w:t>Facturación.</w:t>
      </w:r>
      <w:r w:rsidRPr="001039A1">
        <w:rPr>
          <w:rFonts w:ascii="Times New Roman" w:hAnsi="Times New Roman" w:cs="Times New Roman"/>
          <w:sz w:val="24"/>
          <w:szCs w:val="24"/>
        </w:rPr>
        <w:t xml:space="preserve"> Cada Efector Público tendrá la obligación de facturar mediante el SIGCRH y notificar fehacientemente a la Entidad obligada.</w:t>
      </w:r>
      <w:r w:rsidRPr="001039A1">
        <w:rPr>
          <w:rFonts w:ascii="Times New Roman" w:hAnsi="Times New Roman" w:cs="Times New Roman"/>
          <w:sz w:val="24"/>
          <w:szCs w:val="24"/>
        </w:rPr>
        <w:br/>
        <w:t>La fecha de vencimiento de cada factura, no podrá exceder los 60 días corridos desde su emisión.</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12:</w:t>
      </w:r>
      <w:r w:rsidRPr="001039A1">
        <w:rPr>
          <w:rFonts w:ascii="Times New Roman" w:hAnsi="Times New Roman" w:cs="Times New Roman"/>
          <w:sz w:val="24"/>
          <w:szCs w:val="24"/>
        </w:rPr>
        <w:t xml:space="preserve"> </w:t>
      </w:r>
      <w:r w:rsidRPr="00C81AF1">
        <w:rPr>
          <w:rFonts w:ascii="Times New Roman" w:hAnsi="Times New Roman" w:cs="Times New Roman"/>
          <w:b/>
          <w:sz w:val="24"/>
          <w:szCs w:val="24"/>
        </w:rPr>
        <w:t>Pago.</w:t>
      </w:r>
      <w:r w:rsidRPr="001039A1">
        <w:rPr>
          <w:rFonts w:ascii="Times New Roman" w:hAnsi="Times New Roman" w:cs="Times New Roman"/>
          <w:sz w:val="24"/>
          <w:szCs w:val="24"/>
        </w:rPr>
        <w:t xml:space="preserve"> Las Entidades obligadas deberán proceder al pago de los montos facturados previo a la fecha de vencimiento, a excepción de los casos donde específicamente se estipule un plazo menor, por ley o por convenio entre partes.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13:</w:t>
      </w:r>
      <w:r w:rsidRPr="001039A1">
        <w:rPr>
          <w:rFonts w:ascii="Times New Roman" w:hAnsi="Times New Roman" w:cs="Times New Roman"/>
          <w:sz w:val="24"/>
          <w:szCs w:val="24"/>
        </w:rPr>
        <w:t xml:space="preserve"> </w:t>
      </w:r>
      <w:r w:rsidRPr="00C81AF1">
        <w:rPr>
          <w:rFonts w:ascii="Times New Roman" w:hAnsi="Times New Roman" w:cs="Times New Roman"/>
          <w:b/>
          <w:sz w:val="24"/>
          <w:szCs w:val="24"/>
        </w:rPr>
        <w:t>Percepción del pago.</w:t>
      </w:r>
      <w:r w:rsidRPr="00C81AF1">
        <w:rPr>
          <w:rFonts w:ascii="Times New Roman" w:hAnsi="Times New Roman" w:cs="Times New Roman"/>
          <w:sz w:val="24"/>
          <w:szCs w:val="24"/>
        </w:rPr>
        <w:t xml:space="preserve"> </w:t>
      </w:r>
      <w:r w:rsidRPr="001039A1">
        <w:rPr>
          <w:rFonts w:ascii="Times New Roman" w:hAnsi="Times New Roman" w:cs="Times New Roman"/>
          <w:sz w:val="24"/>
          <w:szCs w:val="24"/>
        </w:rPr>
        <w:t>Cada Efector podrá percibir directamente el cobro de lo facturado en una cuenta de afectación específica. Los importes percibidos serán registrados en el SIGCRH y administrados directamente por el Efector, debiéndose distribuir conforme a lo dispuesto en este cuerpo legal.</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14: </w:t>
      </w:r>
      <w:r w:rsidRPr="00C81AF1">
        <w:rPr>
          <w:rFonts w:ascii="Times New Roman" w:hAnsi="Times New Roman" w:cs="Times New Roman"/>
          <w:b/>
          <w:sz w:val="24"/>
          <w:szCs w:val="24"/>
        </w:rPr>
        <w:t>Falta de pago.</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Ante el incumplimiento del pago de la factura, cada Efector deberá generar el título de deuda correspondiente, de acuerdo a lo establecido en el Art.119 del Código Fiscal de la Provincia de Entre Ríos.</w:t>
      </w:r>
    </w:p>
    <w:p w:rsidR="001039A1" w:rsidRPr="001039A1" w:rsidRDefault="00E6081F" w:rsidP="005721E9">
      <w:pPr>
        <w:spacing w:line="360" w:lineRule="auto"/>
        <w:jc w:val="both"/>
        <w:rPr>
          <w:rFonts w:ascii="Times New Roman" w:hAnsi="Times New Roman" w:cs="Times New Roman"/>
          <w:sz w:val="24"/>
          <w:szCs w:val="24"/>
        </w:rPr>
      </w:pPr>
      <w:r>
        <w:rPr>
          <w:rFonts w:ascii="Times New Roman" w:hAnsi="Times New Roman" w:cs="Times New Roman"/>
          <w:sz w:val="24"/>
          <w:szCs w:val="24"/>
        </w:rPr>
        <w:t>El tí</w:t>
      </w:r>
      <w:r w:rsidR="001039A1" w:rsidRPr="001039A1">
        <w:rPr>
          <w:rFonts w:ascii="Times New Roman" w:hAnsi="Times New Roman" w:cs="Times New Roman"/>
          <w:sz w:val="24"/>
          <w:szCs w:val="24"/>
        </w:rPr>
        <w:t>tulo podrá acumular los importes adeudados por una misma Entidad en un período máximo de seis (6) meses y deberá ser notificado mediante cédula al domicilio legal constituido en la Provincia junto a la resolución administrativa que corresponde, sobre la cual se podrán interponer los recursos administrativos vigentes, siempre y cuando no suspendan la ejecución del título prevista en la presente Ley.</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A tal fin, autorícese al Ministerio de Salud, o el órgano que en un futuro lo reemplace, a emitir por vía reglamentaria el listado de las personas habilitadas para realizar las notificaciones oficiales.</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15:</w:t>
      </w:r>
      <w:r w:rsidRPr="001039A1">
        <w:rPr>
          <w:rFonts w:ascii="Times New Roman" w:hAnsi="Times New Roman" w:cs="Times New Roman"/>
          <w:sz w:val="24"/>
          <w:szCs w:val="24"/>
        </w:rPr>
        <w:t xml:space="preserve"> </w:t>
      </w:r>
      <w:r w:rsidRPr="00C81AF1">
        <w:rPr>
          <w:rFonts w:ascii="Times New Roman" w:hAnsi="Times New Roman" w:cs="Times New Roman"/>
          <w:b/>
          <w:sz w:val="24"/>
          <w:szCs w:val="24"/>
        </w:rPr>
        <w:t>Gestión extrajudicial.</w:t>
      </w:r>
      <w:r w:rsidRPr="001039A1">
        <w:rPr>
          <w:rFonts w:ascii="Times New Roman" w:hAnsi="Times New Roman" w:cs="Times New Roman"/>
          <w:sz w:val="24"/>
          <w:szCs w:val="24"/>
        </w:rPr>
        <w:t xml:space="preserve"> Notificado el instrumento de deuda, el SIGCRH suspenderá la posibilidad de abonar las facturas incluidas en él y lo ingresará al procedimiento de cobro extrajudicial. Cada Efector, por intermedio de su Área Legal, podrá gestionar el cobro extrajudicial de dichas acreencias arancelarias ante las Entidades correspondientes.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La instancia extraju</w:t>
      </w:r>
      <w:r w:rsidR="00F62631">
        <w:rPr>
          <w:rFonts w:ascii="Times New Roman" w:hAnsi="Times New Roman" w:cs="Times New Roman"/>
          <w:sz w:val="24"/>
          <w:szCs w:val="24"/>
        </w:rPr>
        <w:t>dicial, no podrá exceder los ciento veinte</w:t>
      </w:r>
      <w:r w:rsidRPr="001039A1">
        <w:rPr>
          <w:rFonts w:ascii="Times New Roman" w:hAnsi="Times New Roman" w:cs="Times New Roman"/>
          <w:sz w:val="24"/>
          <w:szCs w:val="24"/>
        </w:rPr>
        <w:t xml:space="preserve"> (</w:t>
      </w:r>
      <w:r w:rsidR="00F62631">
        <w:rPr>
          <w:rFonts w:ascii="Times New Roman" w:hAnsi="Times New Roman" w:cs="Times New Roman"/>
          <w:sz w:val="24"/>
          <w:szCs w:val="24"/>
        </w:rPr>
        <w:t>120</w:t>
      </w:r>
      <w:r w:rsidRPr="001039A1">
        <w:rPr>
          <w:rFonts w:ascii="Times New Roman" w:hAnsi="Times New Roman" w:cs="Times New Roman"/>
          <w:sz w:val="24"/>
          <w:szCs w:val="24"/>
        </w:rPr>
        <w:t>) días corridos, desde la notificación del instrumento. Cumplido este plazo, automáticamente el SIGCRH procederá a ingresarlo en la etapa de cobro judicial.</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w:t>
      </w:r>
      <w:r>
        <w:rPr>
          <w:rFonts w:ascii="Times New Roman" w:hAnsi="Times New Roman" w:cs="Times New Roman"/>
          <w:b/>
          <w:sz w:val="24"/>
          <w:szCs w:val="24"/>
        </w:rPr>
        <w:t>1</w:t>
      </w:r>
      <w:r w:rsidRPr="001039A1">
        <w:rPr>
          <w:rFonts w:ascii="Times New Roman" w:hAnsi="Times New Roman" w:cs="Times New Roman"/>
          <w:b/>
          <w:sz w:val="24"/>
          <w:szCs w:val="24"/>
        </w:rPr>
        <w:t xml:space="preserve">6: </w:t>
      </w:r>
      <w:r w:rsidRPr="00C81AF1">
        <w:rPr>
          <w:rFonts w:ascii="Times New Roman" w:hAnsi="Times New Roman" w:cs="Times New Roman"/>
          <w:b/>
          <w:sz w:val="24"/>
          <w:szCs w:val="24"/>
        </w:rPr>
        <w:t>Cobro Judicial</w:t>
      </w:r>
      <w:r w:rsidRPr="00C81AF1">
        <w:rPr>
          <w:rFonts w:ascii="Times New Roman" w:hAnsi="Times New Roman" w:cs="Times New Roman"/>
          <w:sz w:val="24"/>
          <w:szCs w:val="24"/>
        </w:rPr>
        <w:t>.</w:t>
      </w:r>
      <w:r w:rsidRPr="001039A1">
        <w:rPr>
          <w:rFonts w:ascii="Times New Roman" w:hAnsi="Times New Roman" w:cs="Times New Roman"/>
          <w:sz w:val="24"/>
          <w:szCs w:val="24"/>
        </w:rPr>
        <w:t xml:space="preserve"> Los Efectores, a través de la Fiscalía de Estado y procurando descentralización territorial; designarán apoderados/as legales que entenderán la instancia judicial de ejecución de los instrumentos de deuda.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Los y las apoderadas no recibirán por esta actividad otra remuneración más que la resultante de la regulación de honorarios del proceso, la cual tendrán que instar de forma privada y de la que tendrán la obligación de rendir cuentas ante su poderdante.</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w:t>
      </w:r>
      <w:r>
        <w:rPr>
          <w:rFonts w:ascii="Times New Roman" w:hAnsi="Times New Roman" w:cs="Times New Roman"/>
          <w:b/>
          <w:sz w:val="24"/>
          <w:szCs w:val="24"/>
        </w:rPr>
        <w:t xml:space="preserve"> 17:</w:t>
      </w:r>
      <w:r w:rsidRPr="001039A1">
        <w:rPr>
          <w:rFonts w:ascii="Times New Roman" w:hAnsi="Times New Roman" w:cs="Times New Roman"/>
          <w:b/>
          <w:sz w:val="24"/>
          <w:szCs w:val="24"/>
        </w:rPr>
        <w:t xml:space="preserve"> </w:t>
      </w:r>
      <w:r w:rsidRPr="00C81AF1">
        <w:rPr>
          <w:rFonts w:ascii="Times New Roman" w:hAnsi="Times New Roman" w:cs="Times New Roman"/>
          <w:b/>
          <w:sz w:val="24"/>
          <w:szCs w:val="24"/>
        </w:rPr>
        <w:t>Apremio.</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El procedimiento de ejecución será mediante la vía de apremio y por proceso monitorio, resultando competente el fuero Civil y Comercial.</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Serán aplicables las disposiciones de la presente ley y se aplicarán supletoriamente las normas previstas en el Código Procesal Civil y Comercial de la Provincia de Entre Ríos.</w:t>
      </w:r>
    </w:p>
    <w:p w:rsidR="00744FB9" w:rsidRDefault="00744FB9" w:rsidP="005721E9">
      <w:pPr>
        <w:spacing w:line="360" w:lineRule="auto"/>
        <w:jc w:val="center"/>
        <w:rPr>
          <w:rFonts w:ascii="Times New Roman" w:hAnsi="Times New Roman" w:cs="Times New Roman"/>
          <w:b/>
          <w:sz w:val="24"/>
          <w:szCs w:val="24"/>
        </w:rPr>
      </w:pPr>
    </w:p>
    <w:p w:rsidR="001039A1" w:rsidRPr="001039A1" w:rsidRDefault="001039A1" w:rsidP="005721E9">
      <w:pPr>
        <w:spacing w:line="360" w:lineRule="auto"/>
        <w:jc w:val="center"/>
        <w:rPr>
          <w:rFonts w:ascii="Times New Roman" w:hAnsi="Times New Roman" w:cs="Times New Roman"/>
          <w:b/>
          <w:sz w:val="24"/>
          <w:szCs w:val="24"/>
        </w:rPr>
      </w:pPr>
      <w:r w:rsidRPr="001039A1">
        <w:rPr>
          <w:rFonts w:ascii="Times New Roman" w:hAnsi="Times New Roman" w:cs="Times New Roman"/>
          <w:b/>
          <w:sz w:val="24"/>
          <w:szCs w:val="24"/>
        </w:rPr>
        <w:t>Capítulo III</w:t>
      </w:r>
    </w:p>
    <w:p w:rsidR="001039A1" w:rsidRPr="001039A1" w:rsidRDefault="001039A1" w:rsidP="005721E9">
      <w:pPr>
        <w:spacing w:line="360" w:lineRule="auto"/>
        <w:jc w:val="center"/>
        <w:rPr>
          <w:rFonts w:ascii="Times New Roman" w:hAnsi="Times New Roman" w:cs="Times New Roman"/>
          <w:b/>
          <w:sz w:val="24"/>
          <w:szCs w:val="24"/>
        </w:rPr>
      </w:pPr>
      <w:r w:rsidRPr="001039A1">
        <w:rPr>
          <w:rFonts w:ascii="Times New Roman" w:hAnsi="Times New Roman" w:cs="Times New Roman"/>
          <w:b/>
          <w:sz w:val="24"/>
          <w:szCs w:val="24"/>
        </w:rPr>
        <w:t>Procedimientos especiales</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w:t>
      </w:r>
      <w:r>
        <w:rPr>
          <w:rFonts w:ascii="Times New Roman" w:hAnsi="Times New Roman" w:cs="Times New Roman"/>
          <w:b/>
          <w:sz w:val="24"/>
          <w:szCs w:val="24"/>
        </w:rPr>
        <w:t xml:space="preserve"> 18</w:t>
      </w:r>
      <w:r w:rsidRPr="001039A1">
        <w:rPr>
          <w:rFonts w:ascii="Times New Roman" w:hAnsi="Times New Roman" w:cs="Times New Roman"/>
          <w:b/>
          <w:sz w:val="24"/>
          <w:szCs w:val="24"/>
        </w:rPr>
        <w:t>:</w:t>
      </w:r>
      <w:r w:rsidRPr="001039A1">
        <w:rPr>
          <w:rFonts w:ascii="Times New Roman" w:hAnsi="Times New Roman" w:cs="Times New Roman"/>
          <w:sz w:val="24"/>
          <w:szCs w:val="24"/>
        </w:rPr>
        <w:t xml:space="preserve"> </w:t>
      </w:r>
      <w:r w:rsidRPr="00C81AF1">
        <w:rPr>
          <w:rFonts w:ascii="Times New Roman" w:hAnsi="Times New Roman" w:cs="Times New Roman"/>
          <w:b/>
          <w:sz w:val="24"/>
          <w:szCs w:val="24"/>
        </w:rPr>
        <w:t>Cobro automático</w:t>
      </w:r>
      <w:r w:rsidRPr="00C81AF1">
        <w:rPr>
          <w:rFonts w:ascii="Times New Roman" w:hAnsi="Times New Roman" w:cs="Times New Roman"/>
          <w:sz w:val="24"/>
          <w:szCs w:val="24"/>
        </w:rPr>
        <w:t>.</w:t>
      </w:r>
      <w:r w:rsidRPr="001039A1">
        <w:rPr>
          <w:rFonts w:ascii="Times New Roman" w:hAnsi="Times New Roman" w:cs="Times New Roman"/>
          <w:sz w:val="24"/>
          <w:szCs w:val="24"/>
        </w:rPr>
        <w:t xml:space="preserve"> Se establece que, para el caso de cobro a las Entidades comprendidas en la Ley N°23.660 y en la Ley N°23661, el Efector podrá optar por el procedimiento administrativo de cobro automático ante la Superintendencia de Servicios de Salud de la Nación, conforme a lo dispuesto en el Decreto 939/00 del Poder Ejecutivo Nacional y Resolución 635/15 del Ministerio de Salud. En caso de optar por este procedimiento, el vencimiento de los plazos establecidos en la referida normativa nacional habilitará el procedimiento previsto en el Capítulo II de la presente Ley.</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19:</w:t>
      </w:r>
      <w:r w:rsidRPr="001039A1">
        <w:rPr>
          <w:rFonts w:ascii="Times New Roman" w:hAnsi="Times New Roman" w:cs="Times New Roman"/>
          <w:sz w:val="24"/>
          <w:szCs w:val="24"/>
        </w:rPr>
        <w:t xml:space="preserve"> </w:t>
      </w:r>
      <w:r w:rsidRPr="00C81AF1">
        <w:rPr>
          <w:rFonts w:ascii="Times New Roman" w:hAnsi="Times New Roman" w:cs="Times New Roman"/>
          <w:b/>
          <w:sz w:val="24"/>
          <w:szCs w:val="24"/>
        </w:rPr>
        <w:t>Convenios Superadores (Decreto 939/2000).</w:t>
      </w:r>
      <w:r w:rsidRPr="001039A1">
        <w:rPr>
          <w:rFonts w:ascii="Times New Roman" w:hAnsi="Times New Roman" w:cs="Times New Roman"/>
          <w:sz w:val="24"/>
          <w:szCs w:val="24"/>
        </w:rPr>
        <w:t xml:space="preserve"> Se faculta a los Efectores a celebrar convenios con las Entidades, siempre que mediante los mismos se mejoren los presupuestos mínimos establecidos en la presente ley y normativa nacional aplicable. Los mencionados convenios deben estar previamente autorizados por el Ministerio de Salud de la Provincia; que realizará una fiscalización de los mismos y los incorporará al SIGCRH</w:t>
      </w:r>
      <w:r w:rsidRPr="001039A1">
        <w:rPr>
          <w:rFonts w:ascii="Times New Roman" w:hAnsi="Times New Roman" w:cs="Times New Roman"/>
          <w:b/>
          <w:sz w:val="24"/>
          <w:szCs w:val="24"/>
        </w:rPr>
        <w:t>.</w:t>
      </w:r>
      <w:r w:rsidRPr="001039A1">
        <w:rPr>
          <w:rFonts w:ascii="Times New Roman" w:hAnsi="Times New Roman" w:cs="Times New Roman"/>
          <w:sz w:val="24"/>
          <w:szCs w:val="24"/>
        </w:rPr>
        <w:t xml:space="preserve">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20: </w:t>
      </w:r>
      <w:r w:rsidRPr="00C81AF1">
        <w:rPr>
          <w:rFonts w:ascii="Times New Roman" w:hAnsi="Times New Roman" w:cs="Times New Roman"/>
          <w:b/>
          <w:sz w:val="24"/>
          <w:szCs w:val="24"/>
        </w:rPr>
        <w:t>Prestaciones derivadas de accidentes de tránsito</w:t>
      </w:r>
      <w:r w:rsidRPr="00F62631">
        <w:rPr>
          <w:rFonts w:ascii="Times New Roman" w:hAnsi="Times New Roman" w:cs="Times New Roman"/>
          <w:b/>
          <w:sz w:val="24"/>
          <w:szCs w:val="24"/>
        </w:rPr>
        <w:t>.</w:t>
      </w:r>
      <w:r w:rsidRPr="00F62631">
        <w:rPr>
          <w:rFonts w:ascii="Times New Roman" w:hAnsi="Times New Roman" w:cs="Times New Roman"/>
          <w:sz w:val="24"/>
          <w:szCs w:val="24"/>
        </w:rPr>
        <w:t xml:space="preserve"> </w:t>
      </w:r>
      <w:r w:rsidRPr="001039A1">
        <w:rPr>
          <w:rFonts w:ascii="Times New Roman" w:hAnsi="Times New Roman" w:cs="Times New Roman"/>
          <w:sz w:val="24"/>
          <w:szCs w:val="24"/>
        </w:rPr>
        <w:t>Para el caso de que la persona asegurada haya recibido tratamiento médico asistencial, la aseguradora deberá abonar de forma inmediata la totalidad de los gastos irrogados por el Efector, no pudiéndose invocar eximición de responsabilidad en el siniestro, de conformidad a lo estipulado por el artículo 68º párrafo 5 de la ley 24.449. Las Aseguradoras deberán abonar</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las facturas incorporadas al SIGCRH dentro de los cinco</w:t>
      </w:r>
      <w:r w:rsidR="00F62631">
        <w:rPr>
          <w:rFonts w:ascii="Times New Roman" w:hAnsi="Times New Roman" w:cs="Times New Roman"/>
          <w:sz w:val="24"/>
          <w:szCs w:val="24"/>
        </w:rPr>
        <w:t xml:space="preserve"> (5)</w:t>
      </w:r>
      <w:r w:rsidRPr="001039A1">
        <w:rPr>
          <w:rFonts w:ascii="Times New Roman" w:hAnsi="Times New Roman" w:cs="Times New Roman"/>
          <w:sz w:val="24"/>
          <w:szCs w:val="24"/>
        </w:rPr>
        <w:t xml:space="preserve"> días hábiles desde que es notificada. Vencido dicho término, se aplicará el procedimiento establecido en el Capítulo II de este cuerpo legal.</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 xml:space="preserve">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21: </w:t>
      </w:r>
      <w:r w:rsidRPr="00C81AF1">
        <w:rPr>
          <w:rFonts w:ascii="Times New Roman" w:hAnsi="Times New Roman" w:cs="Times New Roman"/>
          <w:b/>
          <w:sz w:val="24"/>
          <w:szCs w:val="24"/>
        </w:rPr>
        <w:t>Deber de informar.</w:t>
      </w:r>
      <w:r w:rsidRPr="001039A1">
        <w:rPr>
          <w:rFonts w:ascii="Times New Roman" w:hAnsi="Times New Roman" w:cs="Times New Roman"/>
          <w:sz w:val="24"/>
          <w:szCs w:val="24"/>
        </w:rPr>
        <w:t xml:space="preserve"> Las Aseguradoras se encuentran obligadas a denunciar los datos, tipo y alcance de la cobertura de la póliza de seguros al Efector dentro de las</w:t>
      </w:r>
      <w:r w:rsidR="00F62631">
        <w:rPr>
          <w:rFonts w:ascii="Times New Roman" w:hAnsi="Times New Roman" w:cs="Times New Roman"/>
          <w:sz w:val="24"/>
          <w:szCs w:val="24"/>
        </w:rPr>
        <w:t xml:space="preserve"> setenta y dos (</w:t>
      </w:r>
      <w:r w:rsidRPr="001039A1">
        <w:rPr>
          <w:rFonts w:ascii="Times New Roman" w:hAnsi="Times New Roman" w:cs="Times New Roman"/>
          <w:sz w:val="24"/>
          <w:szCs w:val="24"/>
        </w:rPr>
        <w:t>72</w:t>
      </w:r>
      <w:r w:rsidR="00F62631">
        <w:rPr>
          <w:rFonts w:ascii="Times New Roman" w:hAnsi="Times New Roman" w:cs="Times New Roman"/>
          <w:sz w:val="24"/>
          <w:szCs w:val="24"/>
        </w:rPr>
        <w:t>)</w:t>
      </w:r>
      <w:r w:rsidRPr="001039A1">
        <w:rPr>
          <w:rFonts w:ascii="Times New Roman" w:hAnsi="Times New Roman" w:cs="Times New Roman"/>
          <w:sz w:val="24"/>
          <w:szCs w:val="24"/>
        </w:rPr>
        <w:t xml:space="preserve"> horas de haber tomado conocimiento del siniestro de la persona asegurada.</w:t>
      </w:r>
      <w:r w:rsidRPr="001039A1">
        <w:rPr>
          <w:rFonts w:ascii="Times New Roman" w:hAnsi="Times New Roman" w:cs="Times New Roman"/>
          <w:i/>
          <w:sz w:val="24"/>
          <w:szCs w:val="24"/>
        </w:rPr>
        <w:t xml:space="preserve">   </w:t>
      </w:r>
      <w:r w:rsidRPr="001039A1">
        <w:rPr>
          <w:rFonts w:ascii="Times New Roman" w:hAnsi="Times New Roman" w:cs="Times New Roman"/>
          <w:b/>
          <w:sz w:val="24"/>
          <w:szCs w:val="24"/>
        </w:rPr>
        <w:t xml:space="preserve">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22:</w:t>
      </w:r>
      <w:r w:rsidRPr="001039A1">
        <w:rPr>
          <w:rFonts w:ascii="Times New Roman" w:hAnsi="Times New Roman" w:cs="Times New Roman"/>
          <w:sz w:val="24"/>
          <w:szCs w:val="24"/>
        </w:rPr>
        <w:t xml:space="preserve"> </w:t>
      </w:r>
      <w:r w:rsidRPr="00C81AF1">
        <w:rPr>
          <w:rFonts w:ascii="Times New Roman" w:hAnsi="Times New Roman" w:cs="Times New Roman"/>
          <w:b/>
          <w:sz w:val="24"/>
          <w:szCs w:val="24"/>
        </w:rPr>
        <w:t>Obligación de informar.</w:t>
      </w:r>
      <w:r w:rsidRPr="001039A1">
        <w:rPr>
          <w:rFonts w:ascii="Times New Roman" w:hAnsi="Times New Roman" w:cs="Times New Roman"/>
          <w:sz w:val="24"/>
          <w:szCs w:val="24"/>
        </w:rPr>
        <w:t xml:space="preserve"> Los Organismos Públicos, así como también el particular damnificado y/o su familiar,  deben brindar la información pertinente de que dispongan, para la correcta gestión del cobro de las prestaciones médico-asistenciales efectuadas por los Efectores de salud. Las autoridades administrativas, policiales y judiciales que intervengan en accidentes de trabajo y/o accidentes de tránsito, deben comunicar al Efector correspondiente, la identidad de las personas afectadas que concurran a los mismos, a efectos de establecer la responsabilidad civil de los eventuales actores.</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23:</w:t>
      </w:r>
      <w:r w:rsidRPr="001039A1">
        <w:rPr>
          <w:rFonts w:ascii="Times New Roman" w:hAnsi="Times New Roman" w:cs="Times New Roman"/>
          <w:sz w:val="24"/>
          <w:szCs w:val="24"/>
        </w:rPr>
        <w:t xml:space="preserve"> </w:t>
      </w:r>
      <w:r w:rsidRPr="00C1402C">
        <w:rPr>
          <w:rFonts w:ascii="Times New Roman" w:hAnsi="Times New Roman" w:cs="Times New Roman"/>
          <w:b/>
          <w:sz w:val="24"/>
          <w:szCs w:val="24"/>
        </w:rPr>
        <w:t>Acción civil.</w:t>
      </w:r>
      <w:r w:rsidRPr="001039A1">
        <w:rPr>
          <w:rFonts w:ascii="Times New Roman" w:hAnsi="Times New Roman" w:cs="Times New Roman"/>
          <w:sz w:val="24"/>
          <w:szCs w:val="24"/>
        </w:rPr>
        <w:t xml:space="preserve"> El Efector podrá ejercer la acción civil en todos los fueros para demandar su pretensión de reembolso conforme al alcance de esta Ley.   </w:t>
      </w:r>
    </w:p>
    <w:p w:rsid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 xml:space="preserve">Asimismo, el Efector podrá presentarse como tercero interesado en los procesos judiciales en los que la víctima de un accidente de tránsito o sus derecho-habientes, demanden el resarcimiento por daños y perjuicios. </w:t>
      </w:r>
    </w:p>
    <w:p w:rsidR="00F62631" w:rsidRPr="001039A1" w:rsidRDefault="00F62631" w:rsidP="005721E9">
      <w:pPr>
        <w:spacing w:line="360" w:lineRule="auto"/>
        <w:jc w:val="both"/>
        <w:rPr>
          <w:rFonts w:ascii="Times New Roman" w:hAnsi="Times New Roman" w:cs="Times New Roman"/>
          <w:sz w:val="24"/>
          <w:szCs w:val="24"/>
        </w:rPr>
      </w:pPr>
    </w:p>
    <w:p w:rsidR="001039A1" w:rsidRPr="00F62631" w:rsidRDefault="001039A1" w:rsidP="005721E9">
      <w:pPr>
        <w:spacing w:line="360" w:lineRule="auto"/>
        <w:jc w:val="center"/>
        <w:rPr>
          <w:rFonts w:ascii="Times New Roman" w:hAnsi="Times New Roman" w:cs="Times New Roman"/>
          <w:b/>
          <w:sz w:val="24"/>
          <w:szCs w:val="24"/>
        </w:rPr>
      </w:pPr>
      <w:r w:rsidRPr="00F62631">
        <w:rPr>
          <w:rFonts w:ascii="Times New Roman" w:hAnsi="Times New Roman" w:cs="Times New Roman"/>
          <w:b/>
          <w:sz w:val="24"/>
          <w:szCs w:val="24"/>
        </w:rPr>
        <w:t>Capítulo IV</w:t>
      </w:r>
    </w:p>
    <w:p w:rsidR="001039A1" w:rsidRPr="00F62631" w:rsidRDefault="001039A1" w:rsidP="005721E9">
      <w:pPr>
        <w:spacing w:line="360" w:lineRule="auto"/>
        <w:jc w:val="center"/>
        <w:rPr>
          <w:rFonts w:ascii="Times New Roman" w:hAnsi="Times New Roman" w:cs="Times New Roman"/>
          <w:b/>
          <w:sz w:val="24"/>
          <w:szCs w:val="24"/>
        </w:rPr>
      </w:pPr>
      <w:r w:rsidRPr="00F62631">
        <w:rPr>
          <w:rFonts w:ascii="Times New Roman" w:hAnsi="Times New Roman" w:cs="Times New Roman"/>
          <w:b/>
          <w:sz w:val="24"/>
          <w:szCs w:val="24"/>
        </w:rPr>
        <w:t>Coparticipación</w:t>
      </w:r>
    </w:p>
    <w:p w:rsidR="001039A1" w:rsidRPr="001039A1" w:rsidRDefault="00C1402C" w:rsidP="005721E9">
      <w:pPr>
        <w:spacing w:line="360" w:lineRule="auto"/>
        <w:jc w:val="both"/>
        <w:rPr>
          <w:rFonts w:ascii="Times New Roman" w:hAnsi="Times New Roman" w:cs="Times New Roman"/>
          <w:sz w:val="24"/>
          <w:szCs w:val="24"/>
        </w:rPr>
      </w:pPr>
      <w:r>
        <w:rPr>
          <w:rFonts w:ascii="Times New Roman" w:hAnsi="Times New Roman" w:cs="Times New Roman"/>
          <w:b/>
          <w:sz w:val="24"/>
          <w:szCs w:val="24"/>
        </w:rPr>
        <w:t>ARTÍ</w:t>
      </w:r>
      <w:r w:rsidR="001039A1" w:rsidRPr="001039A1">
        <w:rPr>
          <w:rFonts w:ascii="Times New Roman" w:hAnsi="Times New Roman" w:cs="Times New Roman"/>
          <w:b/>
          <w:sz w:val="24"/>
          <w:szCs w:val="24"/>
        </w:rPr>
        <w:t xml:space="preserve">CULO 24: </w:t>
      </w:r>
      <w:r w:rsidR="001039A1" w:rsidRPr="00C1402C">
        <w:rPr>
          <w:rFonts w:ascii="Times New Roman" w:hAnsi="Times New Roman" w:cs="Times New Roman"/>
          <w:b/>
          <w:sz w:val="24"/>
          <w:szCs w:val="24"/>
        </w:rPr>
        <w:t>Coparticipación arancelaria.</w:t>
      </w:r>
      <w:r w:rsidR="001039A1" w:rsidRPr="001039A1">
        <w:rPr>
          <w:rFonts w:ascii="Times New Roman" w:hAnsi="Times New Roman" w:cs="Times New Roman"/>
          <w:b/>
          <w:sz w:val="24"/>
          <w:szCs w:val="24"/>
        </w:rPr>
        <w:t xml:space="preserve"> </w:t>
      </w:r>
      <w:r w:rsidR="001039A1" w:rsidRPr="001039A1">
        <w:rPr>
          <w:rFonts w:ascii="Times New Roman" w:hAnsi="Times New Roman" w:cs="Times New Roman"/>
          <w:sz w:val="24"/>
          <w:szCs w:val="24"/>
        </w:rPr>
        <w:t xml:space="preserve">Los fondos recaudados por los Efectores por los conceptos comprendidos en la presente Ley, se distribuirán de la siguiente manera: </w:t>
      </w:r>
    </w:p>
    <w:p w:rsidR="001039A1" w:rsidRPr="001039A1" w:rsidRDefault="001039A1" w:rsidP="005721E9">
      <w:pPr>
        <w:numPr>
          <w:ilvl w:val="0"/>
          <w:numId w:val="1"/>
        </w:num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 xml:space="preserve">El dos por ciento (2%) se destinará al Ministerio de Salud de la Provincia de Entre Ríos y será afectado a la conformación del “Fondo Compensador” cuyo destino será cubrir los desfasajes que en el nivel de recaudación por arancelamiento puedan tener los Efectores. </w:t>
      </w:r>
    </w:p>
    <w:p w:rsidR="001039A1" w:rsidRPr="001039A1" w:rsidRDefault="001039A1" w:rsidP="005721E9">
      <w:pPr>
        <w:numPr>
          <w:ilvl w:val="0"/>
          <w:numId w:val="1"/>
        </w:numPr>
        <w:spacing w:line="360" w:lineRule="auto"/>
        <w:jc w:val="both"/>
        <w:rPr>
          <w:rFonts w:ascii="Times New Roman" w:hAnsi="Times New Roman" w:cs="Times New Roman"/>
          <w:sz w:val="24"/>
          <w:szCs w:val="24"/>
        </w:rPr>
      </w:pPr>
      <w:r w:rsidRPr="001039A1">
        <w:rPr>
          <w:rFonts w:ascii="Times New Roman" w:hAnsi="Times New Roman" w:cs="Times New Roman"/>
          <w:sz w:val="24"/>
          <w:szCs w:val="24"/>
        </w:rPr>
        <w:t>El cuarenta por ciento (40%) se destinará al pago de la coparticipación arancelaria hacia todo el personal efectivo o transitorio del escalafón general y enfermería</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 xml:space="preserve">que reúna las condiciones establecidas en la presente normativa.   </w:t>
      </w:r>
    </w:p>
    <w:p w:rsidR="001039A1" w:rsidRPr="001039A1" w:rsidRDefault="001039A1" w:rsidP="005721E9">
      <w:pPr>
        <w:numPr>
          <w:ilvl w:val="0"/>
          <w:numId w:val="1"/>
        </w:numPr>
        <w:spacing w:line="360" w:lineRule="auto"/>
        <w:jc w:val="both"/>
        <w:rPr>
          <w:rFonts w:ascii="Times New Roman" w:hAnsi="Times New Roman" w:cs="Times New Roman"/>
          <w:sz w:val="24"/>
          <w:szCs w:val="24"/>
        </w:rPr>
      </w:pPr>
      <w:r w:rsidRPr="00950AB6">
        <w:rPr>
          <w:rFonts w:ascii="Times New Roman" w:hAnsi="Times New Roman" w:cs="Times New Roman"/>
          <w:sz w:val="24"/>
          <w:szCs w:val="24"/>
        </w:rPr>
        <w:t>El veintiocho por ciento (28%) será administrado por el Efector</w:t>
      </w:r>
      <w:r w:rsidRPr="001039A1">
        <w:rPr>
          <w:rFonts w:ascii="Times New Roman" w:hAnsi="Times New Roman" w:cs="Times New Roman"/>
          <w:sz w:val="24"/>
          <w:szCs w:val="24"/>
        </w:rPr>
        <w:t xml:space="preserve"> pudiendo destinar dichos fondos para gastos de mejoras edilicias, contratar servicios, capacitación docente técnica o profesional, locaciones de obra, adquisición de insumos, bienes de consumo y/o de capital para el efector.</w:t>
      </w:r>
    </w:p>
    <w:p w:rsidR="001039A1" w:rsidRDefault="001039A1" w:rsidP="005721E9">
      <w:pPr>
        <w:numPr>
          <w:ilvl w:val="0"/>
          <w:numId w:val="1"/>
        </w:num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 </w:t>
      </w:r>
      <w:r w:rsidRPr="00950AB6">
        <w:rPr>
          <w:rFonts w:ascii="Times New Roman" w:hAnsi="Times New Roman" w:cs="Times New Roman"/>
          <w:sz w:val="24"/>
          <w:szCs w:val="24"/>
        </w:rPr>
        <w:t>El treinta por ciento (30 %) será destinado al pago de honorarios profesionales;</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de la carrera profesional asistencial sanitaria con el mismo criterio de distribución utilizado para la coparticipación arancelaria.</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25: </w:t>
      </w:r>
      <w:r w:rsidRPr="00C1402C">
        <w:rPr>
          <w:rFonts w:ascii="Times New Roman" w:hAnsi="Times New Roman" w:cs="Times New Roman"/>
          <w:b/>
          <w:sz w:val="24"/>
          <w:szCs w:val="24"/>
        </w:rPr>
        <w:t>Carácter no remunerativo de la coparticipación.</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 xml:space="preserve">La coparticipación arancelaria prevista en el Art. 24 Inc.2 se abonará en forma mensual, del </w:t>
      </w:r>
      <w:r w:rsidR="004E4203">
        <w:rPr>
          <w:rFonts w:ascii="Times New Roman" w:hAnsi="Times New Roman" w:cs="Times New Roman"/>
          <w:sz w:val="24"/>
          <w:szCs w:val="24"/>
        </w:rPr>
        <w:t xml:space="preserve">día </w:t>
      </w:r>
      <w:r w:rsidRPr="001039A1">
        <w:rPr>
          <w:rFonts w:ascii="Times New Roman" w:hAnsi="Times New Roman" w:cs="Times New Roman"/>
          <w:sz w:val="24"/>
          <w:szCs w:val="24"/>
        </w:rPr>
        <w:t xml:space="preserve">diez (10) al veinte (20) de cada mes, y continuará manteniendo su carácter no remunerativo y no bonificable. No integrará el salario normal y habitual del personal, ni su percepción constituirá derecho adquirido en relación al monto y porcentualidad.  </w:t>
      </w:r>
    </w:p>
    <w:p w:rsid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26: </w:t>
      </w:r>
      <w:r w:rsidRPr="00C1402C">
        <w:rPr>
          <w:rFonts w:ascii="Times New Roman" w:hAnsi="Times New Roman" w:cs="Times New Roman"/>
          <w:b/>
          <w:sz w:val="24"/>
          <w:szCs w:val="24"/>
        </w:rPr>
        <w:t>Condiciones para percibir la Coparticipación.</w:t>
      </w:r>
      <w:r w:rsidRPr="001039A1">
        <w:rPr>
          <w:rFonts w:ascii="Times New Roman" w:hAnsi="Times New Roman" w:cs="Times New Roman"/>
          <w:sz w:val="24"/>
          <w:szCs w:val="24"/>
        </w:rPr>
        <w:t xml:space="preserve"> Tendrán derecho a la percepción de la coparticipación arancelaria, los y las agentes que acrediten el cien por ciento (100%) del presentismo en el mes calendario que corresponda, excepto que la ausencia se deba  a  licencia  anual  ordinaria,  licencia  profiláctica,  licencia  por maternidad, licencia por matrimonio, licencia por duelo de familiar directo en primer grado, licencia por nacimiento de hijo o adopción, licencia por estudio que no superen los veinte (20) días al año, licencia gremial, francos compensatorios,   ausencia   o   retiro   por   donación   de   sangre   o amamantamiento, imprevistos y salidas de delegados gremiales para el cumplimiento de sus actividades, salidas de sus lugares de trabajo por cualquier causa que no sean necesidades propias del servicio que no superen las tres (3) horas mensuales y faltas de puntualidad que no superen los diez (10) minutos.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27: Escala de participación.</w:t>
      </w:r>
      <w:r w:rsidRPr="001039A1">
        <w:rPr>
          <w:rFonts w:ascii="Times New Roman" w:hAnsi="Times New Roman" w:cs="Times New Roman"/>
          <w:sz w:val="24"/>
          <w:szCs w:val="24"/>
        </w:rPr>
        <w:t xml:space="preserve"> Se garantiza  la percepción de la coparticipación por arancelamiento en cada uno de los Efectores, a través de una suma mensual fija, de conformidad a la escala que el Poder Ejecutivo reglamente.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28:</w:t>
      </w:r>
      <w:r w:rsidRPr="001039A1">
        <w:rPr>
          <w:rFonts w:ascii="Times New Roman" w:hAnsi="Times New Roman" w:cs="Times New Roman"/>
          <w:sz w:val="24"/>
          <w:szCs w:val="24"/>
        </w:rPr>
        <w:t xml:space="preserve"> </w:t>
      </w:r>
      <w:r w:rsidRPr="001039A1">
        <w:rPr>
          <w:rFonts w:ascii="Times New Roman" w:hAnsi="Times New Roman" w:cs="Times New Roman"/>
          <w:b/>
          <w:sz w:val="24"/>
          <w:szCs w:val="24"/>
        </w:rPr>
        <w:t>Transferencia al Ministerio de Salud</w:t>
      </w:r>
      <w:r w:rsidRPr="001039A1">
        <w:rPr>
          <w:rFonts w:ascii="Times New Roman" w:hAnsi="Times New Roman" w:cs="Times New Roman"/>
          <w:sz w:val="24"/>
          <w:szCs w:val="24"/>
        </w:rPr>
        <w:t xml:space="preserve">. Cada Efector transferirá el último día hábil de cada semana, el </w:t>
      </w:r>
      <w:r w:rsidR="004E4203">
        <w:rPr>
          <w:rFonts w:ascii="Times New Roman" w:hAnsi="Times New Roman" w:cs="Times New Roman"/>
          <w:sz w:val="24"/>
          <w:szCs w:val="24"/>
        </w:rPr>
        <w:t>dos por ciento (</w:t>
      </w:r>
      <w:r w:rsidRPr="001039A1">
        <w:rPr>
          <w:rFonts w:ascii="Times New Roman" w:hAnsi="Times New Roman" w:cs="Times New Roman"/>
          <w:sz w:val="24"/>
          <w:szCs w:val="24"/>
        </w:rPr>
        <w:t>2%</w:t>
      </w:r>
      <w:r w:rsidR="004E4203">
        <w:rPr>
          <w:rFonts w:ascii="Times New Roman" w:hAnsi="Times New Roman" w:cs="Times New Roman"/>
          <w:sz w:val="24"/>
          <w:szCs w:val="24"/>
        </w:rPr>
        <w:t>)</w:t>
      </w:r>
      <w:r w:rsidRPr="001039A1">
        <w:rPr>
          <w:rFonts w:ascii="Times New Roman" w:hAnsi="Times New Roman" w:cs="Times New Roman"/>
          <w:sz w:val="24"/>
          <w:szCs w:val="24"/>
        </w:rPr>
        <w:t xml:space="preserve"> de los montos recaudados, de conformidad a lo establecido </w:t>
      </w:r>
      <w:r w:rsidR="00291716">
        <w:rPr>
          <w:rFonts w:ascii="Times New Roman" w:hAnsi="Times New Roman" w:cs="Times New Roman"/>
          <w:sz w:val="24"/>
          <w:szCs w:val="24"/>
        </w:rPr>
        <w:t xml:space="preserve">en el </w:t>
      </w:r>
      <w:bookmarkStart w:id="0" w:name="_GoBack"/>
      <w:bookmarkEnd w:id="0"/>
      <w:r w:rsidRPr="001039A1">
        <w:rPr>
          <w:rFonts w:ascii="Times New Roman" w:hAnsi="Times New Roman" w:cs="Times New Roman"/>
          <w:sz w:val="24"/>
          <w:szCs w:val="24"/>
        </w:rPr>
        <w:t xml:space="preserve">Art. 24, Inc.1 de la presente Ley. </w:t>
      </w:r>
    </w:p>
    <w:p w:rsidR="001039A1" w:rsidRDefault="001039A1" w:rsidP="005721E9">
      <w:pPr>
        <w:spacing w:line="360" w:lineRule="auto"/>
        <w:jc w:val="both"/>
        <w:rPr>
          <w:rFonts w:ascii="Times New Roman" w:hAnsi="Times New Roman" w:cs="Times New Roman"/>
          <w:b/>
          <w:sz w:val="24"/>
          <w:szCs w:val="24"/>
        </w:rPr>
      </w:pPr>
      <w:r w:rsidRPr="001039A1">
        <w:rPr>
          <w:rFonts w:ascii="Times New Roman" w:hAnsi="Times New Roman" w:cs="Times New Roman"/>
          <w:b/>
          <w:sz w:val="24"/>
          <w:szCs w:val="24"/>
        </w:rPr>
        <w:t>ARTÍCULO 29: Procedimiento contable y financiero.</w:t>
      </w:r>
      <w:r w:rsidRPr="001039A1">
        <w:rPr>
          <w:rFonts w:ascii="Times New Roman" w:hAnsi="Times New Roman" w:cs="Times New Roman"/>
          <w:sz w:val="24"/>
          <w:szCs w:val="24"/>
        </w:rPr>
        <w:t xml:space="preserve"> Todas las erogaciones que se atiendan con los recursos generados bajo el procedimiento de la presente normativa, se harán de conformidad a lo establecido en la Ley Provincial N° 5</w:t>
      </w:r>
      <w:r w:rsidR="004E4203">
        <w:rPr>
          <w:rFonts w:ascii="Times New Roman" w:hAnsi="Times New Roman" w:cs="Times New Roman"/>
          <w:sz w:val="24"/>
          <w:szCs w:val="24"/>
        </w:rPr>
        <w:t>.</w:t>
      </w:r>
      <w:r w:rsidRPr="001039A1">
        <w:rPr>
          <w:rFonts w:ascii="Times New Roman" w:hAnsi="Times New Roman" w:cs="Times New Roman"/>
          <w:sz w:val="24"/>
          <w:szCs w:val="24"/>
        </w:rPr>
        <w:t>140 o en la que en el futuro la reemplace y/o modifique o complemente.</w:t>
      </w:r>
      <w:r w:rsidRPr="001039A1">
        <w:rPr>
          <w:rFonts w:ascii="Times New Roman" w:hAnsi="Times New Roman" w:cs="Times New Roman"/>
          <w:b/>
          <w:sz w:val="24"/>
          <w:szCs w:val="24"/>
        </w:rPr>
        <w:t xml:space="preserve"> </w:t>
      </w:r>
    </w:p>
    <w:p w:rsidR="004E4203" w:rsidRPr="001039A1" w:rsidRDefault="004E4203" w:rsidP="005721E9">
      <w:pPr>
        <w:spacing w:line="360" w:lineRule="auto"/>
        <w:jc w:val="both"/>
        <w:rPr>
          <w:rFonts w:ascii="Times New Roman" w:hAnsi="Times New Roman" w:cs="Times New Roman"/>
          <w:sz w:val="24"/>
          <w:szCs w:val="24"/>
        </w:rPr>
      </w:pPr>
    </w:p>
    <w:p w:rsidR="001039A1" w:rsidRPr="004E4203" w:rsidRDefault="001039A1" w:rsidP="00C1402C">
      <w:pPr>
        <w:spacing w:line="360" w:lineRule="auto"/>
        <w:jc w:val="center"/>
        <w:rPr>
          <w:rFonts w:ascii="Times New Roman" w:hAnsi="Times New Roman" w:cs="Times New Roman"/>
          <w:b/>
          <w:sz w:val="24"/>
          <w:szCs w:val="24"/>
        </w:rPr>
      </w:pPr>
      <w:r w:rsidRPr="004E4203">
        <w:rPr>
          <w:rFonts w:ascii="Times New Roman" w:hAnsi="Times New Roman" w:cs="Times New Roman"/>
          <w:b/>
          <w:sz w:val="24"/>
          <w:szCs w:val="24"/>
        </w:rPr>
        <w:t>Capítulo V</w:t>
      </w:r>
    </w:p>
    <w:p w:rsidR="001039A1" w:rsidRPr="004E4203" w:rsidRDefault="001039A1" w:rsidP="00C1402C">
      <w:pPr>
        <w:spacing w:line="360" w:lineRule="auto"/>
        <w:jc w:val="center"/>
        <w:rPr>
          <w:rFonts w:ascii="Times New Roman" w:hAnsi="Times New Roman" w:cs="Times New Roman"/>
          <w:b/>
          <w:sz w:val="24"/>
          <w:szCs w:val="24"/>
        </w:rPr>
      </w:pPr>
      <w:r w:rsidRPr="004E4203">
        <w:rPr>
          <w:rFonts w:ascii="Times New Roman" w:hAnsi="Times New Roman" w:cs="Times New Roman"/>
          <w:b/>
          <w:sz w:val="24"/>
          <w:szCs w:val="24"/>
        </w:rPr>
        <w:t>Disposiciones Finales</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w:t>
      </w:r>
      <w:r>
        <w:rPr>
          <w:rFonts w:ascii="Times New Roman" w:hAnsi="Times New Roman" w:cs="Times New Roman"/>
          <w:b/>
          <w:sz w:val="24"/>
          <w:szCs w:val="24"/>
        </w:rPr>
        <w:t xml:space="preserve"> 3</w:t>
      </w:r>
      <w:r w:rsidRPr="001039A1">
        <w:rPr>
          <w:rFonts w:ascii="Times New Roman" w:hAnsi="Times New Roman" w:cs="Times New Roman"/>
          <w:b/>
          <w:sz w:val="24"/>
          <w:szCs w:val="24"/>
        </w:rPr>
        <w:t xml:space="preserve">0: </w:t>
      </w:r>
      <w:r w:rsidRPr="00C1402C">
        <w:rPr>
          <w:rFonts w:ascii="Times New Roman" w:hAnsi="Times New Roman" w:cs="Times New Roman"/>
          <w:b/>
          <w:sz w:val="24"/>
          <w:szCs w:val="24"/>
        </w:rPr>
        <w:t>Personal requerido</w:t>
      </w:r>
      <w:r w:rsidRPr="004E4203">
        <w:rPr>
          <w:rFonts w:ascii="Times New Roman" w:hAnsi="Times New Roman" w:cs="Times New Roman"/>
          <w:sz w:val="24"/>
          <w:szCs w:val="24"/>
        </w:rPr>
        <w:t>.</w:t>
      </w:r>
      <w:r w:rsidRPr="001039A1">
        <w:rPr>
          <w:rFonts w:ascii="Times New Roman" w:hAnsi="Times New Roman" w:cs="Times New Roman"/>
          <w:sz w:val="24"/>
          <w:szCs w:val="24"/>
        </w:rPr>
        <w:t xml:space="preserve"> Cada Efector asignará personal de administración de dedicación exclusiva a los fines de llevar la carga permanente del SIGCRH, quienes recibirán una capacitación específica y permanente, la cual estará a cargo de la autoridad de aplicación.</w:t>
      </w:r>
    </w:p>
    <w:p w:rsidR="001039A1" w:rsidRPr="001039A1" w:rsidRDefault="001039A1" w:rsidP="005721E9">
      <w:pPr>
        <w:spacing w:line="360" w:lineRule="auto"/>
        <w:jc w:val="both"/>
        <w:rPr>
          <w:rFonts w:ascii="Times New Roman" w:hAnsi="Times New Roman" w:cs="Times New Roman"/>
          <w:b/>
          <w:sz w:val="24"/>
          <w:szCs w:val="24"/>
        </w:rPr>
      </w:pPr>
      <w:r w:rsidRPr="001039A1">
        <w:rPr>
          <w:rFonts w:ascii="Times New Roman" w:hAnsi="Times New Roman" w:cs="Times New Roman"/>
          <w:b/>
          <w:sz w:val="24"/>
          <w:szCs w:val="24"/>
        </w:rPr>
        <w:t xml:space="preserve">ARTÍCULO 31: </w:t>
      </w:r>
      <w:r w:rsidRPr="00C1402C">
        <w:rPr>
          <w:rFonts w:ascii="Times New Roman" w:hAnsi="Times New Roman" w:cs="Times New Roman"/>
          <w:b/>
          <w:sz w:val="24"/>
          <w:szCs w:val="24"/>
        </w:rPr>
        <w:t>Informe anual</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Cada Efector debe presentar a la autoridad de aplicación un informe anual del sistema de recupero, con detalle de la facturación, servicios comprendidos, montos y clasificaciones según la gestión de cobro, especificando si es judicial o extrajudicial.</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32: </w:t>
      </w:r>
      <w:r w:rsidRPr="00C1402C">
        <w:rPr>
          <w:rFonts w:ascii="Times New Roman" w:hAnsi="Times New Roman" w:cs="Times New Roman"/>
          <w:b/>
          <w:sz w:val="24"/>
          <w:szCs w:val="24"/>
        </w:rPr>
        <w:t>Estado de situación</w:t>
      </w:r>
      <w:r w:rsidRPr="001039A1">
        <w:rPr>
          <w:rFonts w:ascii="Times New Roman" w:hAnsi="Times New Roman" w:cs="Times New Roman"/>
          <w:sz w:val="24"/>
          <w:szCs w:val="24"/>
        </w:rPr>
        <w:t xml:space="preserve">. Previo a la entrada en vigencia del SIGCRH, se deberá contar </w:t>
      </w:r>
      <w:r w:rsidR="004E4203">
        <w:rPr>
          <w:rFonts w:ascii="Times New Roman" w:hAnsi="Times New Roman" w:cs="Times New Roman"/>
          <w:sz w:val="24"/>
          <w:szCs w:val="24"/>
        </w:rPr>
        <w:t>con un informe de los últimos cinco (5</w:t>
      </w:r>
      <w:r w:rsidRPr="001039A1">
        <w:rPr>
          <w:rFonts w:ascii="Times New Roman" w:hAnsi="Times New Roman" w:cs="Times New Roman"/>
          <w:sz w:val="24"/>
          <w:szCs w:val="24"/>
        </w:rPr>
        <w:t xml:space="preserve">) años con respecto a los montos de recupero hospitalario.  </w:t>
      </w:r>
    </w:p>
    <w:p w:rsidR="001039A1" w:rsidRPr="001039A1" w:rsidRDefault="001039A1" w:rsidP="005721E9">
      <w:pPr>
        <w:spacing w:line="360" w:lineRule="auto"/>
        <w:jc w:val="both"/>
        <w:rPr>
          <w:rFonts w:ascii="Times New Roman" w:hAnsi="Times New Roman" w:cs="Times New Roman"/>
          <w:b/>
          <w:sz w:val="24"/>
          <w:szCs w:val="24"/>
        </w:rPr>
      </w:pPr>
      <w:r w:rsidRPr="001039A1">
        <w:rPr>
          <w:rFonts w:ascii="Times New Roman" w:hAnsi="Times New Roman" w:cs="Times New Roman"/>
          <w:b/>
          <w:sz w:val="24"/>
          <w:szCs w:val="24"/>
        </w:rPr>
        <w:t xml:space="preserve">ARTÍCULO 33: </w:t>
      </w:r>
      <w:r w:rsidRPr="00C1402C">
        <w:rPr>
          <w:rFonts w:ascii="Times New Roman" w:hAnsi="Times New Roman" w:cs="Times New Roman"/>
          <w:b/>
          <w:sz w:val="24"/>
          <w:szCs w:val="24"/>
        </w:rPr>
        <w:t>Prohibición expresa.</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Los</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funcionarios y funcionarias de la Administración Pública de la Provincia, no podrán ser accionistas o autoridades superiores de las sociedades públicas o privadas vinculadas con el SIGCRH o actividades afines.</w:t>
      </w:r>
      <w:r w:rsidRPr="001039A1">
        <w:rPr>
          <w:rFonts w:ascii="Times New Roman" w:hAnsi="Times New Roman" w:cs="Times New Roman"/>
          <w:b/>
          <w:sz w:val="24"/>
          <w:szCs w:val="24"/>
        </w:rPr>
        <w:t xml:space="preserve">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34:</w:t>
      </w:r>
      <w:r w:rsidRPr="001039A1">
        <w:rPr>
          <w:rFonts w:ascii="Times New Roman" w:hAnsi="Times New Roman" w:cs="Times New Roman"/>
          <w:sz w:val="24"/>
          <w:szCs w:val="24"/>
        </w:rPr>
        <w:t xml:space="preserve"> </w:t>
      </w:r>
      <w:r w:rsidRPr="00C1402C">
        <w:rPr>
          <w:rFonts w:ascii="Times New Roman" w:hAnsi="Times New Roman" w:cs="Times New Roman"/>
          <w:b/>
          <w:sz w:val="24"/>
          <w:szCs w:val="24"/>
        </w:rPr>
        <w:t>Autoridad de aplicación.</w:t>
      </w:r>
      <w:r w:rsidRPr="001039A1">
        <w:rPr>
          <w:rFonts w:ascii="Times New Roman" w:hAnsi="Times New Roman" w:cs="Times New Roman"/>
          <w:sz w:val="24"/>
          <w:szCs w:val="24"/>
        </w:rPr>
        <w:t xml:space="preserve"> Será autoridad de aplicación de la presente Ley el Ministerio de Salud de la Provincia de Entre Ríos y/o el organismo que en un futuro lo reemplace.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35:</w:t>
      </w:r>
      <w:r w:rsidRPr="001039A1">
        <w:rPr>
          <w:rFonts w:ascii="Times New Roman" w:hAnsi="Times New Roman" w:cs="Times New Roman"/>
          <w:sz w:val="24"/>
          <w:szCs w:val="24"/>
        </w:rPr>
        <w:t xml:space="preserve"> </w:t>
      </w:r>
      <w:r w:rsidRPr="00C1402C">
        <w:rPr>
          <w:rFonts w:ascii="Times New Roman" w:hAnsi="Times New Roman" w:cs="Times New Roman"/>
          <w:b/>
          <w:sz w:val="24"/>
          <w:szCs w:val="24"/>
        </w:rPr>
        <w:t>Presupuesto</w:t>
      </w:r>
      <w:r w:rsidRPr="001039A1">
        <w:rPr>
          <w:rFonts w:ascii="Times New Roman" w:hAnsi="Times New Roman" w:cs="Times New Roman"/>
          <w:b/>
          <w:sz w:val="24"/>
          <w:szCs w:val="24"/>
        </w:rPr>
        <w:t>.</w:t>
      </w:r>
      <w:r w:rsidRPr="001039A1">
        <w:rPr>
          <w:rFonts w:ascii="Times New Roman" w:hAnsi="Times New Roman" w:cs="Times New Roman"/>
          <w:sz w:val="24"/>
          <w:szCs w:val="24"/>
        </w:rPr>
        <w:t xml:space="preserve"> Los gastos que demande la implementación del SIGCRH, serán atendidos con las partidas que al efecto se destinen en el Presupuesto General de la Provincia de Entre Ríos para los organismos comprometidos en su ejecución, los cuales serán administrados por la Autoridad de Aplicación.</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36:</w:t>
      </w:r>
      <w:r w:rsidRPr="001039A1">
        <w:rPr>
          <w:rFonts w:ascii="Times New Roman" w:hAnsi="Times New Roman" w:cs="Times New Roman"/>
          <w:sz w:val="24"/>
          <w:szCs w:val="24"/>
        </w:rPr>
        <w:t xml:space="preserve"> </w:t>
      </w:r>
      <w:r w:rsidRPr="00C1402C">
        <w:rPr>
          <w:rFonts w:ascii="Times New Roman" w:hAnsi="Times New Roman" w:cs="Times New Roman"/>
          <w:b/>
          <w:sz w:val="24"/>
          <w:szCs w:val="24"/>
        </w:rPr>
        <w:t>Reglamentación.</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 xml:space="preserve"> La presente ley se reglamentará en el plazo de 90 (noventa) días, desde su entrada en vigencia.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 xml:space="preserve">ARTÍCULO 37: </w:t>
      </w:r>
      <w:r w:rsidRPr="00C1402C">
        <w:rPr>
          <w:rFonts w:ascii="Times New Roman" w:hAnsi="Times New Roman" w:cs="Times New Roman"/>
          <w:b/>
          <w:sz w:val="24"/>
          <w:szCs w:val="24"/>
        </w:rPr>
        <w:t>Cláusula transitoria</w:t>
      </w:r>
      <w:r w:rsidRPr="001039A1">
        <w:rPr>
          <w:rFonts w:ascii="Times New Roman" w:hAnsi="Times New Roman" w:cs="Times New Roman"/>
          <w:b/>
          <w:sz w:val="24"/>
          <w:szCs w:val="24"/>
        </w:rPr>
        <w:t xml:space="preserve">. </w:t>
      </w:r>
      <w:r w:rsidRPr="001039A1">
        <w:rPr>
          <w:rFonts w:ascii="Times New Roman" w:hAnsi="Times New Roman" w:cs="Times New Roman"/>
          <w:sz w:val="24"/>
          <w:szCs w:val="24"/>
        </w:rPr>
        <w:t xml:space="preserve">La no implementación del SIGCRH; no obsta a la aplicación de la presente normativa.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38:</w:t>
      </w:r>
      <w:r w:rsidRPr="001039A1">
        <w:rPr>
          <w:rFonts w:ascii="Times New Roman" w:hAnsi="Times New Roman" w:cs="Times New Roman"/>
          <w:sz w:val="24"/>
          <w:szCs w:val="24"/>
        </w:rPr>
        <w:t xml:space="preserve"> </w:t>
      </w:r>
      <w:r w:rsidRPr="00C1402C">
        <w:rPr>
          <w:rFonts w:ascii="Times New Roman" w:hAnsi="Times New Roman" w:cs="Times New Roman"/>
          <w:b/>
          <w:sz w:val="24"/>
          <w:szCs w:val="24"/>
        </w:rPr>
        <w:t>Derogación de normativa previa.</w:t>
      </w:r>
      <w:r w:rsidRPr="001039A1">
        <w:rPr>
          <w:rFonts w:ascii="Times New Roman" w:hAnsi="Times New Roman" w:cs="Times New Roman"/>
          <w:sz w:val="24"/>
          <w:szCs w:val="24"/>
        </w:rPr>
        <w:t xml:space="preserve"> Se deja sin efecto el Decreto 4255/2010 y toda norma anterior que se oponga a lo establecido en la presente ley.</w:t>
      </w:r>
      <w:r w:rsidRPr="001039A1">
        <w:rPr>
          <w:rFonts w:ascii="Times New Roman" w:hAnsi="Times New Roman" w:cs="Times New Roman"/>
          <w:b/>
          <w:sz w:val="24"/>
          <w:szCs w:val="24"/>
        </w:rPr>
        <w:t xml:space="preserve"> </w:t>
      </w:r>
    </w:p>
    <w:p w:rsidR="001039A1" w:rsidRPr="001039A1" w:rsidRDefault="001039A1" w:rsidP="005721E9">
      <w:pPr>
        <w:spacing w:line="360" w:lineRule="auto"/>
        <w:jc w:val="both"/>
        <w:rPr>
          <w:rFonts w:ascii="Times New Roman" w:hAnsi="Times New Roman" w:cs="Times New Roman"/>
          <w:sz w:val="24"/>
          <w:szCs w:val="24"/>
        </w:rPr>
      </w:pPr>
      <w:r w:rsidRPr="001039A1">
        <w:rPr>
          <w:rFonts w:ascii="Times New Roman" w:hAnsi="Times New Roman" w:cs="Times New Roman"/>
          <w:b/>
          <w:sz w:val="24"/>
          <w:szCs w:val="24"/>
        </w:rPr>
        <w:t>ARTÍCULO 39:</w:t>
      </w:r>
      <w:r w:rsidRPr="001039A1">
        <w:rPr>
          <w:rFonts w:ascii="Times New Roman" w:hAnsi="Times New Roman" w:cs="Times New Roman"/>
          <w:sz w:val="24"/>
          <w:szCs w:val="24"/>
        </w:rPr>
        <w:t xml:space="preserve"> Comuníquese.- </w:t>
      </w:r>
    </w:p>
    <w:p w:rsidR="0074168C" w:rsidRPr="0074168C" w:rsidRDefault="001039A1" w:rsidP="0074168C">
      <w:pPr>
        <w:spacing w:line="360" w:lineRule="auto"/>
        <w:jc w:val="right"/>
        <w:rPr>
          <w:rFonts w:ascii="Times New Roman" w:hAnsi="Times New Roman" w:cs="Times New Roman"/>
          <w:sz w:val="24"/>
          <w:szCs w:val="24"/>
          <w:lang w:val="es-ES"/>
        </w:rPr>
      </w:pPr>
      <w:r w:rsidRPr="001039A1">
        <w:rPr>
          <w:rFonts w:ascii="Times New Roman" w:hAnsi="Times New Roman" w:cs="Times New Roman"/>
          <w:sz w:val="24"/>
          <w:szCs w:val="24"/>
        </w:rPr>
        <w:t xml:space="preserve"> </w:t>
      </w:r>
      <w:r w:rsidR="0074168C" w:rsidRPr="0074168C">
        <w:rPr>
          <w:rFonts w:ascii="Times New Roman" w:hAnsi="Times New Roman" w:cs="Times New Roman"/>
          <w:b/>
          <w:bCs/>
          <w:sz w:val="24"/>
          <w:szCs w:val="24"/>
          <w:lang w:val="es-ES"/>
        </w:rPr>
        <w:t xml:space="preserve">                                           PARANÁ, Sala de Comisiones, 06 de </w:t>
      </w:r>
      <w:bookmarkStart w:id="1" w:name="Bookmark"/>
      <w:bookmarkEnd w:id="1"/>
      <w:r w:rsidR="0074168C" w:rsidRPr="0074168C">
        <w:rPr>
          <w:rFonts w:ascii="Times New Roman" w:hAnsi="Times New Roman" w:cs="Times New Roman"/>
          <w:b/>
          <w:bCs/>
          <w:sz w:val="24"/>
          <w:szCs w:val="24"/>
          <w:lang w:val="es-ES"/>
        </w:rPr>
        <w:t>abril de 2022</w:t>
      </w:r>
    </w:p>
    <w:p w:rsidR="00240445" w:rsidRDefault="00240445" w:rsidP="0074168C">
      <w:pPr>
        <w:spacing w:line="360" w:lineRule="auto"/>
        <w:jc w:val="both"/>
        <w:rPr>
          <w:rFonts w:ascii="Times New Roman" w:hAnsi="Times New Roman" w:cs="Times New Roman"/>
          <w:b/>
          <w:sz w:val="24"/>
          <w:szCs w:val="24"/>
          <w:u w:val="single"/>
          <w:lang w:val="es-ES"/>
        </w:rPr>
      </w:pPr>
    </w:p>
    <w:p w:rsidR="0074168C" w:rsidRPr="0074168C" w:rsidRDefault="0074168C" w:rsidP="0074168C">
      <w:pPr>
        <w:spacing w:line="360" w:lineRule="auto"/>
        <w:jc w:val="both"/>
        <w:rPr>
          <w:rFonts w:ascii="Times New Roman" w:hAnsi="Times New Roman" w:cs="Times New Roman"/>
          <w:sz w:val="24"/>
          <w:szCs w:val="24"/>
          <w:lang w:val="es-ES"/>
        </w:rPr>
      </w:pPr>
      <w:r w:rsidRPr="0074168C">
        <w:rPr>
          <w:rFonts w:ascii="Times New Roman" w:hAnsi="Times New Roman" w:cs="Times New Roman"/>
          <w:b/>
          <w:sz w:val="24"/>
          <w:szCs w:val="24"/>
          <w:u w:val="single"/>
          <w:lang w:val="es-ES"/>
        </w:rPr>
        <w:t>Comisión de Salud y Drogadicción</w:t>
      </w:r>
      <w:r w:rsidRPr="0074168C">
        <w:rPr>
          <w:rFonts w:ascii="Times New Roman" w:hAnsi="Times New Roman" w:cs="Times New Roman"/>
          <w:b/>
          <w:sz w:val="24"/>
          <w:szCs w:val="24"/>
          <w:lang w:val="es-ES"/>
        </w:rPr>
        <w:t xml:space="preserve">                                   </w:t>
      </w:r>
      <w:r w:rsidRPr="0074168C">
        <w:rPr>
          <w:rFonts w:ascii="Times New Roman" w:hAnsi="Times New Roman" w:cs="Times New Roman"/>
          <w:b/>
          <w:sz w:val="24"/>
          <w:szCs w:val="24"/>
          <w:u w:val="single"/>
          <w:lang w:val="es-ES"/>
        </w:rPr>
        <w:t>Comisión de Legislación General</w:t>
      </w:r>
      <w:r w:rsidRPr="0074168C">
        <w:rPr>
          <w:rFonts w:ascii="Times New Roman" w:hAnsi="Times New Roman" w:cs="Times New Roman"/>
          <w:b/>
          <w:sz w:val="24"/>
          <w:szCs w:val="24"/>
          <w:lang w:val="es-ES"/>
        </w:rPr>
        <w:t xml:space="preserve">                              </w:t>
      </w:r>
    </w:p>
    <w:p w:rsidR="0074168C" w:rsidRPr="00240445" w:rsidRDefault="0074168C" w:rsidP="0074168C">
      <w:pPr>
        <w:spacing w:line="360" w:lineRule="auto"/>
        <w:jc w:val="both"/>
        <w:rPr>
          <w:rFonts w:ascii="Times New Roman" w:hAnsi="Times New Roman" w:cs="Times New Roman"/>
          <w:sz w:val="24"/>
          <w:szCs w:val="24"/>
          <w:lang w:val="es-ES"/>
        </w:rPr>
      </w:pPr>
      <w:r w:rsidRPr="0074168C">
        <w:rPr>
          <w:rFonts w:ascii="Times New Roman" w:hAnsi="Times New Roman" w:cs="Times New Roman"/>
          <w:b/>
          <w:bCs/>
          <w:sz w:val="24"/>
          <w:szCs w:val="24"/>
          <w:lang w:val="es-ES"/>
        </w:rPr>
        <w:t xml:space="preserve">MIRANDA, </w:t>
      </w:r>
      <w:r w:rsidRPr="0074168C">
        <w:rPr>
          <w:rFonts w:ascii="Times New Roman" w:hAnsi="Times New Roman" w:cs="Times New Roman"/>
          <w:bCs/>
          <w:sz w:val="24"/>
          <w:szCs w:val="24"/>
          <w:lang w:val="es-ES"/>
        </w:rPr>
        <w:t xml:space="preserve">Nancy Susana                                              </w:t>
      </w:r>
      <w:r w:rsidRPr="0074168C">
        <w:rPr>
          <w:rFonts w:ascii="Times New Roman" w:hAnsi="Times New Roman" w:cs="Times New Roman"/>
          <w:b/>
          <w:bCs/>
          <w:sz w:val="24"/>
          <w:szCs w:val="24"/>
          <w:lang w:val="es-ES"/>
        </w:rPr>
        <w:t>GIEGO,</w:t>
      </w:r>
      <w:r w:rsidRPr="0074168C">
        <w:rPr>
          <w:rFonts w:ascii="Times New Roman" w:hAnsi="Times New Roman" w:cs="Times New Roman"/>
          <w:bCs/>
          <w:sz w:val="24"/>
          <w:szCs w:val="24"/>
          <w:lang w:val="es-ES"/>
        </w:rPr>
        <w:t xml:space="preserve"> Claudia Ester                    </w:t>
      </w:r>
    </w:p>
    <w:p w:rsidR="0074168C" w:rsidRPr="00240445" w:rsidRDefault="0074168C" w:rsidP="0074168C">
      <w:pPr>
        <w:spacing w:line="360" w:lineRule="auto"/>
        <w:jc w:val="both"/>
        <w:rPr>
          <w:rFonts w:ascii="Times New Roman" w:hAnsi="Times New Roman" w:cs="Times New Roman"/>
          <w:sz w:val="24"/>
          <w:szCs w:val="24"/>
          <w:lang w:val="es-ES"/>
        </w:rPr>
      </w:pPr>
      <w:r w:rsidRPr="0074168C">
        <w:rPr>
          <w:rFonts w:ascii="Times New Roman" w:hAnsi="Times New Roman" w:cs="Times New Roman"/>
          <w:b/>
          <w:bCs/>
          <w:sz w:val="24"/>
          <w:szCs w:val="24"/>
          <w:lang w:val="es-ES"/>
        </w:rPr>
        <w:t>GIECO</w:t>
      </w:r>
      <w:r w:rsidRPr="0074168C">
        <w:rPr>
          <w:rFonts w:ascii="Times New Roman" w:hAnsi="Times New Roman" w:cs="Times New Roman"/>
          <w:bCs/>
          <w:sz w:val="24"/>
          <w:szCs w:val="24"/>
          <w:lang w:val="es-ES"/>
        </w:rPr>
        <w:t xml:space="preserve">, Claudia Este                                                        </w:t>
      </w:r>
      <w:r w:rsidRPr="0074168C">
        <w:rPr>
          <w:rFonts w:ascii="Times New Roman" w:hAnsi="Times New Roman" w:cs="Times New Roman"/>
          <w:b/>
          <w:bCs/>
          <w:sz w:val="24"/>
          <w:szCs w:val="24"/>
          <w:lang w:val="es-ES"/>
        </w:rPr>
        <w:t>AMAVET,</w:t>
      </w:r>
      <w:r w:rsidRPr="0074168C">
        <w:rPr>
          <w:rFonts w:ascii="Times New Roman" w:hAnsi="Times New Roman" w:cs="Times New Roman"/>
          <w:bCs/>
          <w:sz w:val="24"/>
          <w:szCs w:val="24"/>
          <w:lang w:val="es-ES"/>
        </w:rPr>
        <w:t xml:space="preserve"> Horacio César                           </w:t>
      </w:r>
    </w:p>
    <w:p w:rsidR="0074168C" w:rsidRPr="00240445" w:rsidRDefault="0074168C" w:rsidP="0074168C">
      <w:pPr>
        <w:spacing w:line="360" w:lineRule="auto"/>
        <w:jc w:val="both"/>
        <w:rPr>
          <w:rFonts w:ascii="Times New Roman" w:hAnsi="Times New Roman" w:cs="Times New Roman"/>
          <w:sz w:val="24"/>
          <w:szCs w:val="24"/>
          <w:lang w:val="es-ES"/>
        </w:rPr>
      </w:pPr>
      <w:r w:rsidRPr="0074168C">
        <w:rPr>
          <w:rFonts w:ascii="Times New Roman" w:hAnsi="Times New Roman" w:cs="Times New Roman"/>
          <w:b/>
          <w:bCs/>
          <w:sz w:val="24"/>
          <w:szCs w:val="24"/>
          <w:lang w:val="es-ES"/>
        </w:rPr>
        <w:t xml:space="preserve">MIGUELES, </w:t>
      </w:r>
      <w:r w:rsidRPr="0074168C">
        <w:rPr>
          <w:rFonts w:ascii="Times New Roman" w:hAnsi="Times New Roman" w:cs="Times New Roman"/>
          <w:bCs/>
          <w:sz w:val="24"/>
          <w:szCs w:val="24"/>
          <w:lang w:val="es-ES"/>
        </w:rPr>
        <w:t xml:space="preserve">Omar Eduardo                                            </w:t>
      </w:r>
      <w:r w:rsidRPr="0074168C">
        <w:rPr>
          <w:rFonts w:ascii="Times New Roman" w:hAnsi="Times New Roman" w:cs="Times New Roman"/>
          <w:b/>
          <w:bCs/>
          <w:sz w:val="24"/>
          <w:szCs w:val="24"/>
          <w:lang w:val="es-ES"/>
        </w:rPr>
        <w:t>MARADEY</w:t>
      </w:r>
      <w:r w:rsidRPr="0074168C">
        <w:rPr>
          <w:rFonts w:ascii="Times New Roman" w:hAnsi="Times New Roman" w:cs="Times New Roman"/>
          <w:bCs/>
          <w:sz w:val="24"/>
          <w:szCs w:val="24"/>
          <w:lang w:val="es-ES"/>
        </w:rPr>
        <w:t>, Jorge Francisco</w:t>
      </w:r>
    </w:p>
    <w:p w:rsidR="0074168C" w:rsidRPr="00240445" w:rsidRDefault="0074168C" w:rsidP="0074168C">
      <w:pPr>
        <w:spacing w:line="360" w:lineRule="auto"/>
        <w:jc w:val="both"/>
        <w:rPr>
          <w:rFonts w:ascii="Times New Roman" w:hAnsi="Times New Roman" w:cs="Times New Roman"/>
          <w:sz w:val="24"/>
          <w:szCs w:val="24"/>
          <w:lang w:val="es-ES"/>
        </w:rPr>
      </w:pPr>
      <w:r w:rsidRPr="0074168C">
        <w:rPr>
          <w:rFonts w:ascii="Times New Roman" w:hAnsi="Times New Roman" w:cs="Times New Roman"/>
          <w:b/>
          <w:bCs/>
          <w:sz w:val="24"/>
          <w:szCs w:val="24"/>
          <w:lang w:val="es-ES"/>
        </w:rPr>
        <w:t xml:space="preserve">BAGNAT, </w:t>
      </w:r>
      <w:r w:rsidRPr="0074168C">
        <w:rPr>
          <w:rFonts w:ascii="Times New Roman" w:hAnsi="Times New Roman" w:cs="Times New Roman"/>
          <w:bCs/>
          <w:sz w:val="24"/>
          <w:szCs w:val="24"/>
          <w:lang w:val="es-ES"/>
        </w:rPr>
        <w:t xml:space="preserve">Gastón                                                             </w:t>
      </w:r>
      <w:r w:rsidRPr="0074168C">
        <w:rPr>
          <w:rFonts w:ascii="Times New Roman" w:hAnsi="Times New Roman" w:cs="Times New Roman"/>
          <w:b/>
          <w:bCs/>
          <w:sz w:val="24"/>
          <w:szCs w:val="24"/>
          <w:lang w:val="es-ES"/>
        </w:rPr>
        <w:t>DAL MOLÍN</w:t>
      </w:r>
      <w:r w:rsidRPr="0074168C">
        <w:rPr>
          <w:rFonts w:ascii="Times New Roman" w:hAnsi="Times New Roman" w:cs="Times New Roman"/>
          <w:bCs/>
          <w:sz w:val="24"/>
          <w:szCs w:val="24"/>
          <w:lang w:val="es-ES"/>
        </w:rPr>
        <w:t>, Rubén Alberto</w:t>
      </w:r>
    </w:p>
    <w:p w:rsidR="0074168C" w:rsidRPr="00240445" w:rsidRDefault="0074168C" w:rsidP="0074168C">
      <w:pPr>
        <w:spacing w:line="360" w:lineRule="auto"/>
        <w:jc w:val="both"/>
        <w:rPr>
          <w:rFonts w:ascii="Times New Roman" w:hAnsi="Times New Roman" w:cs="Times New Roman"/>
          <w:sz w:val="24"/>
          <w:szCs w:val="24"/>
          <w:lang w:val="es-ES"/>
        </w:rPr>
      </w:pPr>
      <w:r w:rsidRPr="0074168C">
        <w:rPr>
          <w:rFonts w:ascii="Times New Roman" w:hAnsi="Times New Roman" w:cs="Times New Roman"/>
          <w:b/>
          <w:bCs/>
          <w:sz w:val="24"/>
          <w:szCs w:val="24"/>
          <w:lang w:val="es-ES"/>
        </w:rPr>
        <w:t xml:space="preserve">MAIDANA, </w:t>
      </w:r>
      <w:r w:rsidRPr="0074168C">
        <w:rPr>
          <w:rFonts w:ascii="Times New Roman" w:hAnsi="Times New Roman" w:cs="Times New Roman"/>
          <w:bCs/>
          <w:sz w:val="24"/>
          <w:szCs w:val="24"/>
          <w:lang w:val="es-ES"/>
        </w:rPr>
        <w:t>Flavia Gisela</w:t>
      </w:r>
      <w:r w:rsidRPr="0074168C">
        <w:rPr>
          <w:rFonts w:ascii="Times New Roman" w:hAnsi="Times New Roman" w:cs="Times New Roman"/>
          <w:b/>
          <w:bCs/>
          <w:sz w:val="24"/>
          <w:szCs w:val="24"/>
          <w:lang w:val="es-ES"/>
        </w:rPr>
        <w:tab/>
        <w:t xml:space="preserve">                                            BAGNAT, </w:t>
      </w:r>
      <w:r w:rsidRPr="0074168C">
        <w:rPr>
          <w:rFonts w:ascii="Times New Roman" w:hAnsi="Times New Roman" w:cs="Times New Roman"/>
          <w:bCs/>
          <w:sz w:val="24"/>
          <w:szCs w:val="24"/>
          <w:lang w:val="es-ES"/>
        </w:rPr>
        <w:t>Gastón</w:t>
      </w:r>
    </w:p>
    <w:p w:rsidR="0074168C" w:rsidRPr="00240445" w:rsidRDefault="0074168C" w:rsidP="0074168C">
      <w:pPr>
        <w:spacing w:line="360" w:lineRule="auto"/>
        <w:jc w:val="both"/>
        <w:rPr>
          <w:rFonts w:ascii="Times New Roman" w:hAnsi="Times New Roman" w:cs="Times New Roman"/>
          <w:sz w:val="24"/>
          <w:szCs w:val="24"/>
          <w:lang w:val="es-ES"/>
        </w:rPr>
      </w:pPr>
      <w:r w:rsidRPr="0074168C">
        <w:rPr>
          <w:rFonts w:ascii="Times New Roman" w:hAnsi="Times New Roman" w:cs="Times New Roman"/>
          <w:b/>
          <w:bCs/>
          <w:sz w:val="24"/>
          <w:szCs w:val="24"/>
          <w:lang w:val="es-ES"/>
        </w:rPr>
        <w:t xml:space="preserve">GENRE BERT, </w:t>
      </w:r>
      <w:r w:rsidRPr="0074168C">
        <w:rPr>
          <w:rFonts w:ascii="Times New Roman" w:hAnsi="Times New Roman" w:cs="Times New Roman"/>
          <w:bCs/>
          <w:sz w:val="24"/>
          <w:szCs w:val="24"/>
          <w:lang w:val="es-ES"/>
        </w:rPr>
        <w:t xml:space="preserve">Amilcar René                                         </w:t>
      </w:r>
      <w:r w:rsidRPr="0074168C">
        <w:rPr>
          <w:rFonts w:ascii="Times New Roman" w:hAnsi="Times New Roman" w:cs="Times New Roman"/>
          <w:b/>
          <w:bCs/>
          <w:sz w:val="24"/>
          <w:szCs w:val="24"/>
          <w:lang w:val="es-ES"/>
        </w:rPr>
        <w:t>MIRANDA</w:t>
      </w:r>
      <w:r w:rsidRPr="0074168C">
        <w:rPr>
          <w:rFonts w:ascii="Times New Roman" w:hAnsi="Times New Roman" w:cs="Times New Roman"/>
          <w:bCs/>
          <w:sz w:val="24"/>
          <w:szCs w:val="24"/>
          <w:lang w:val="es-ES"/>
        </w:rPr>
        <w:t>, Nancy Susana</w:t>
      </w:r>
    </w:p>
    <w:p w:rsidR="0074168C" w:rsidRPr="0074168C" w:rsidRDefault="0074168C" w:rsidP="0074168C">
      <w:pPr>
        <w:spacing w:line="360" w:lineRule="auto"/>
        <w:jc w:val="both"/>
        <w:rPr>
          <w:rFonts w:ascii="Times New Roman" w:hAnsi="Times New Roman" w:cs="Times New Roman"/>
          <w:sz w:val="24"/>
          <w:szCs w:val="24"/>
          <w:lang w:val="es-ES"/>
        </w:rPr>
      </w:pPr>
      <w:r w:rsidRPr="0074168C">
        <w:rPr>
          <w:rFonts w:ascii="Times New Roman" w:hAnsi="Times New Roman" w:cs="Times New Roman"/>
          <w:b/>
          <w:bCs/>
          <w:sz w:val="24"/>
          <w:szCs w:val="24"/>
          <w:lang w:val="es-ES"/>
        </w:rPr>
        <w:t xml:space="preserve">MARADEY, </w:t>
      </w:r>
      <w:r w:rsidRPr="0074168C">
        <w:rPr>
          <w:rFonts w:ascii="Times New Roman" w:hAnsi="Times New Roman" w:cs="Times New Roman"/>
          <w:bCs/>
          <w:sz w:val="24"/>
          <w:szCs w:val="24"/>
          <w:lang w:val="es-ES"/>
        </w:rPr>
        <w:t>Jorge Francisco</w:t>
      </w:r>
      <w:r w:rsidRPr="0074168C">
        <w:rPr>
          <w:rFonts w:ascii="Times New Roman" w:hAnsi="Times New Roman" w:cs="Times New Roman"/>
          <w:b/>
          <w:bCs/>
          <w:sz w:val="24"/>
          <w:szCs w:val="24"/>
          <w:lang w:val="es-ES"/>
        </w:rPr>
        <w:t xml:space="preserve">                                           BERTHET, </w:t>
      </w:r>
      <w:r w:rsidRPr="0074168C">
        <w:rPr>
          <w:rFonts w:ascii="Times New Roman" w:hAnsi="Times New Roman" w:cs="Times New Roman"/>
          <w:bCs/>
          <w:sz w:val="24"/>
          <w:szCs w:val="24"/>
          <w:lang w:val="es-ES"/>
        </w:rPr>
        <w:t>Marcelo Fabián</w:t>
      </w:r>
    </w:p>
    <w:p w:rsidR="0074168C" w:rsidRPr="0074168C" w:rsidRDefault="0074168C" w:rsidP="0074168C">
      <w:pPr>
        <w:spacing w:line="360" w:lineRule="auto"/>
        <w:jc w:val="both"/>
        <w:rPr>
          <w:rFonts w:ascii="Times New Roman" w:hAnsi="Times New Roman" w:cs="Times New Roman"/>
          <w:sz w:val="24"/>
          <w:szCs w:val="24"/>
          <w:lang w:val="es-ES"/>
        </w:rPr>
      </w:pPr>
    </w:p>
    <w:p w:rsidR="00240445" w:rsidRPr="00240445" w:rsidRDefault="00240445" w:rsidP="00240445">
      <w:pPr>
        <w:numPr>
          <w:ilvl w:val="0"/>
          <w:numId w:val="4"/>
        </w:numPr>
        <w:spacing w:line="360" w:lineRule="auto"/>
        <w:ind w:left="0"/>
        <w:jc w:val="both"/>
        <w:rPr>
          <w:rFonts w:ascii="Times New Roman" w:hAnsi="Times New Roman" w:cs="Times New Roman"/>
          <w:sz w:val="24"/>
          <w:szCs w:val="24"/>
          <w:lang w:val="es-MX"/>
        </w:rPr>
      </w:pPr>
      <w:r w:rsidRPr="00240445">
        <w:rPr>
          <w:rFonts w:ascii="Times New Roman" w:hAnsi="Times New Roman" w:cs="Times New Roman"/>
          <w:sz w:val="24"/>
          <w:szCs w:val="24"/>
          <w:lang w:val="es-ES"/>
        </w:rPr>
        <w:t>En mi carácter de Secretario Adjunto de Comisiones de la Honorable Cámara de Senadores de la Provincia de Entre Ríos, DOY FE que el texto que antecede ha sido consensuado y aprobado en reunión de la Comisión de Salud y Drogadicción realizada el día 06 de abril de 2022, contando con el asentimiento de las Señoras Senadoras</w:t>
      </w:r>
      <w:r w:rsidRPr="00240445">
        <w:rPr>
          <w:rFonts w:ascii="Times New Roman" w:hAnsi="Times New Roman" w:cs="Times New Roman"/>
          <w:b/>
          <w:sz w:val="24"/>
          <w:szCs w:val="24"/>
          <w:lang w:val="es-MX"/>
        </w:rPr>
        <w:t xml:space="preserve"> </w:t>
      </w:r>
      <w:r w:rsidRPr="00240445">
        <w:rPr>
          <w:rFonts w:ascii="Times New Roman" w:hAnsi="Times New Roman" w:cs="Times New Roman"/>
          <w:sz w:val="24"/>
          <w:szCs w:val="24"/>
          <w:lang w:val="es-MX"/>
        </w:rPr>
        <w:t>MIRANDA Nancy S de manera presencial, GIECO Claudia E. y MAIDANA Flavia G. de manera remota y los Señores Senadores MARADEY Jorge F., AMAVET Horacio C. y BERTHET Marcelo F. de manera presencial y MIGUELES Omar, BAGNAT Gastón, DAL MOLÍN, Rubén A. y GENRE BERT Amilcar R. de manera remota.</w:t>
      </w:r>
    </w:p>
    <w:p w:rsidR="0074168C" w:rsidRDefault="0074168C" w:rsidP="005721E9">
      <w:pPr>
        <w:spacing w:line="360" w:lineRule="auto"/>
        <w:jc w:val="both"/>
        <w:rPr>
          <w:rFonts w:ascii="Times New Roman" w:hAnsi="Times New Roman" w:cs="Times New Roman"/>
          <w:sz w:val="24"/>
          <w:szCs w:val="24"/>
        </w:rPr>
      </w:pPr>
    </w:p>
    <w:p w:rsidR="0074168C" w:rsidRPr="001039A1" w:rsidRDefault="0074168C" w:rsidP="005721E9">
      <w:pPr>
        <w:spacing w:line="360" w:lineRule="auto"/>
        <w:jc w:val="both"/>
        <w:rPr>
          <w:rFonts w:ascii="Times New Roman" w:hAnsi="Times New Roman" w:cs="Times New Roman"/>
          <w:sz w:val="24"/>
          <w:szCs w:val="24"/>
        </w:rPr>
      </w:pPr>
    </w:p>
    <w:sectPr w:rsidR="0074168C" w:rsidRPr="001039A1" w:rsidSect="00DB009E">
      <w:headerReference w:type="even" r:id="rId8"/>
      <w:footerReference w:type="default" r:id="rId9"/>
      <w:headerReference w:type="first" r:id="rId10"/>
      <w:pgSz w:w="12240" w:h="15840"/>
      <w:pgMar w:top="2529" w:right="618" w:bottom="1474" w:left="1843"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D73" w:rsidRDefault="00393D73">
      <w:pPr>
        <w:spacing w:after="0" w:line="240" w:lineRule="auto"/>
      </w:pPr>
      <w:r>
        <w:separator/>
      </w:r>
    </w:p>
  </w:endnote>
  <w:endnote w:type="continuationSeparator" w:id="0">
    <w:p w:rsidR="00393D73" w:rsidRDefault="0039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348721"/>
      <w:docPartObj>
        <w:docPartGallery w:val="Page Numbers (Bottom of Page)"/>
        <w:docPartUnique/>
      </w:docPartObj>
    </w:sdtPr>
    <w:sdtEndPr/>
    <w:sdtContent>
      <w:p w:rsidR="00CB637D" w:rsidRDefault="00CB637D">
        <w:pPr>
          <w:pStyle w:val="Piedepgina"/>
          <w:jc w:val="right"/>
        </w:pPr>
        <w:r>
          <w:fldChar w:fldCharType="begin"/>
        </w:r>
        <w:r>
          <w:instrText>PAGE   \* MERGEFORMAT</w:instrText>
        </w:r>
        <w:r>
          <w:fldChar w:fldCharType="separate"/>
        </w:r>
        <w:r w:rsidR="00393D73" w:rsidRPr="00393D73">
          <w:rPr>
            <w:noProof/>
            <w:lang w:val="es-ES"/>
          </w:rPr>
          <w:t>1</w:t>
        </w:r>
        <w:r>
          <w:fldChar w:fldCharType="end"/>
        </w:r>
      </w:p>
    </w:sdtContent>
  </w:sdt>
  <w:p w:rsidR="00CB637D" w:rsidRDefault="00CB63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D73" w:rsidRDefault="00393D73">
      <w:pPr>
        <w:spacing w:after="0" w:line="240" w:lineRule="auto"/>
      </w:pPr>
      <w:r>
        <w:separator/>
      </w:r>
    </w:p>
  </w:footnote>
  <w:footnote w:type="continuationSeparator" w:id="0">
    <w:p w:rsidR="00393D73" w:rsidRDefault="00393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86" w:rsidRDefault="00744FB9">
    <w:pPr>
      <w:spacing w:after="0"/>
      <w:ind w:left="-961"/>
      <w:jc w:val="right"/>
    </w:pPr>
    <w:r>
      <w:rPr>
        <w:noProof/>
        <w:lang w:eastAsia="es-AR"/>
      </w:rPr>
      <w:drawing>
        <wp:anchor distT="0" distB="0" distL="114300" distR="114300" simplePos="0" relativeHeight="251659264" behindDoc="0" locked="0" layoutInCell="1" allowOverlap="0" wp14:anchorId="3F1BE637" wp14:editId="2C5B9B1B">
          <wp:simplePos x="0" y="0"/>
          <wp:positionH relativeFrom="page">
            <wp:posOffset>288925</wp:posOffset>
          </wp:positionH>
          <wp:positionV relativeFrom="page">
            <wp:posOffset>449580</wp:posOffset>
          </wp:positionV>
          <wp:extent cx="7119366" cy="1261110"/>
          <wp:effectExtent l="0" t="0" r="0" b="0"/>
          <wp:wrapSquare wrapText="bothSides"/>
          <wp:docPr id="1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19366" cy="1261110"/>
                  </a:xfrm>
                  <a:prstGeom prst="rect">
                    <a:avLst/>
                  </a:prstGeom>
                </pic:spPr>
              </pic:pic>
            </a:graphicData>
          </a:graphic>
        </wp:anchor>
      </w:drawing>
    </w:r>
    <w:r>
      <w:rPr>
        <w:rFonts w:ascii="Calibri" w:eastAsia="Calibri" w:hAnsi="Calibri" w:cs="Calibri"/>
      </w:rPr>
      <w:t xml:space="preserve"> </w:t>
    </w:r>
  </w:p>
  <w:p w:rsidR="00A47B86" w:rsidRDefault="00744FB9">
    <w:r>
      <w:rPr>
        <w:rFonts w:ascii="Calibri" w:eastAsia="Calibri" w:hAnsi="Calibri" w:cs="Calibri"/>
        <w:noProof/>
        <w:lang w:eastAsia="es-AR"/>
      </w:rPr>
      <mc:AlternateContent>
        <mc:Choice Requires="wpg">
          <w:drawing>
            <wp:anchor distT="0" distB="0" distL="114300" distR="114300" simplePos="0" relativeHeight="251660288" behindDoc="1" locked="0" layoutInCell="1" allowOverlap="1" wp14:anchorId="515A2D74" wp14:editId="0B8EA265">
              <wp:simplePos x="0" y="0"/>
              <wp:positionH relativeFrom="page">
                <wp:posOffset>0</wp:posOffset>
              </wp:positionH>
              <wp:positionV relativeFrom="page">
                <wp:posOffset>0</wp:posOffset>
              </wp:positionV>
              <wp:extent cx="1" cy="1"/>
              <wp:effectExtent l="0" t="0" r="0" b="0"/>
              <wp:wrapNone/>
              <wp:docPr id="10804" name="Group 1080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D0AE8A2" id="Group 10804"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zCGwJV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86" w:rsidRDefault="00744FB9">
    <w:pPr>
      <w:spacing w:after="0"/>
      <w:ind w:left="-961"/>
      <w:jc w:val="right"/>
    </w:pPr>
    <w:r>
      <w:rPr>
        <w:noProof/>
        <w:lang w:eastAsia="es-AR"/>
      </w:rPr>
      <w:drawing>
        <wp:anchor distT="0" distB="0" distL="114300" distR="114300" simplePos="0" relativeHeight="251661312" behindDoc="0" locked="0" layoutInCell="1" allowOverlap="0" wp14:anchorId="79F8BBB4" wp14:editId="5645DF60">
          <wp:simplePos x="0" y="0"/>
          <wp:positionH relativeFrom="page">
            <wp:posOffset>288925</wp:posOffset>
          </wp:positionH>
          <wp:positionV relativeFrom="page">
            <wp:posOffset>449580</wp:posOffset>
          </wp:positionV>
          <wp:extent cx="7119366" cy="1261110"/>
          <wp:effectExtent l="0" t="0" r="0" b="0"/>
          <wp:wrapSquare wrapText="bothSides"/>
          <wp:docPr id="1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19366" cy="1261110"/>
                  </a:xfrm>
                  <a:prstGeom prst="rect">
                    <a:avLst/>
                  </a:prstGeom>
                </pic:spPr>
              </pic:pic>
            </a:graphicData>
          </a:graphic>
        </wp:anchor>
      </w:drawing>
    </w:r>
    <w:r>
      <w:rPr>
        <w:rFonts w:ascii="Calibri" w:eastAsia="Calibri" w:hAnsi="Calibri" w:cs="Calibri"/>
      </w:rPr>
      <w:t xml:space="preserve"> </w:t>
    </w:r>
  </w:p>
  <w:p w:rsidR="00A47B86" w:rsidRDefault="00744FB9">
    <w:r>
      <w:rPr>
        <w:rFonts w:ascii="Calibri" w:eastAsia="Calibri" w:hAnsi="Calibri" w:cs="Calibri"/>
        <w:noProof/>
        <w:lang w:eastAsia="es-AR"/>
      </w:rPr>
      <mc:AlternateContent>
        <mc:Choice Requires="wpg">
          <w:drawing>
            <wp:anchor distT="0" distB="0" distL="114300" distR="114300" simplePos="0" relativeHeight="251662336" behindDoc="1" locked="0" layoutInCell="1" allowOverlap="1" wp14:anchorId="519750CC" wp14:editId="350383AB">
              <wp:simplePos x="0" y="0"/>
              <wp:positionH relativeFrom="page">
                <wp:posOffset>0</wp:posOffset>
              </wp:positionH>
              <wp:positionV relativeFrom="page">
                <wp:posOffset>0</wp:posOffset>
              </wp:positionV>
              <wp:extent cx="1" cy="1"/>
              <wp:effectExtent l="0" t="0" r="0" b="0"/>
              <wp:wrapNone/>
              <wp:docPr id="10786" name="Group 107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873AD74" id="Group 10786"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HnZr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61EB6"/>
    <w:multiLevelType w:val="hybridMultilevel"/>
    <w:tmpl w:val="9BAC8CDE"/>
    <w:lvl w:ilvl="0" w:tplc="9A3A3D22">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41538">
      <w:start w:val="1"/>
      <w:numFmt w:val="lowerLetter"/>
      <w:lvlText w:val="%2"/>
      <w:lvlJc w:val="left"/>
      <w:pPr>
        <w:ind w:left="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2B5B2">
      <w:start w:val="1"/>
      <w:numFmt w:val="lowerRoman"/>
      <w:lvlText w:val="%3"/>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4ECED0">
      <w:start w:val="1"/>
      <w:numFmt w:val="decimal"/>
      <w:lvlText w:val="%4"/>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6F944">
      <w:start w:val="1"/>
      <w:numFmt w:val="lowerLetter"/>
      <w:lvlText w:val="%5"/>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02E0D0">
      <w:start w:val="1"/>
      <w:numFmt w:val="lowerRoman"/>
      <w:lvlText w:val="%6"/>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86E14E">
      <w:start w:val="1"/>
      <w:numFmt w:val="decimal"/>
      <w:lvlText w:val="%7"/>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A5402">
      <w:start w:val="1"/>
      <w:numFmt w:val="lowerLetter"/>
      <w:lvlText w:val="%8"/>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2A2AD2">
      <w:start w:val="1"/>
      <w:numFmt w:val="lowerRoman"/>
      <w:lvlText w:val="%9"/>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6341017A"/>
    <w:multiLevelType w:val="hybridMultilevel"/>
    <w:tmpl w:val="ED64BE7E"/>
    <w:lvl w:ilvl="0" w:tplc="560A1242">
      <w:start w:val="1"/>
      <w:numFmt w:val="lowerLetter"/>
      <w:lvlText w:val="%1)"/>
      <w:lvlJc w:val="left"/>
      <w:pPr>
        <w:ind w:left="630" w:hanging="360"/>
      </w:pPr>
      <w:rPr>
        <w:rFonts w:hint="default"/>
        <w:b/>
      </w:rPr>
    </w:lvl>
    <w:lvl w:ilvl="1" w:tplc="2C0A0019" w:tentative="1">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2">
    <w:nsid w:val="79864E67"/>
    <w:multiLevelType w:val="multilevel"/>
    <w:tmpl w:val="0CFA2E1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 w:numId="2">
    <w:abstractNumId w:val="1"/>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B4"/>
    <w:rsid w:val="00034DF8"/>
    <w:rsid w:val="001039A1"/>
    <w:rsid w:val="001E7D5C"/>
    <w:rsid w:val="00240445"/>
    <w:rsid w:val="00291716"/>
    <w:rsid w:val="00393D73"/>
    <w:rsid w:val="003B5B23"/>
    <w:rsid w:val="0044717C"/>
    <w:rsid w:val="004E4203"/>
    <w:rsid w:val="004F23BB"/>
    <w:rsid w:val="005721E9"/>
    <w:rsid w:val="005E154C"/>
    <w:rsid w:val="00621B90"/>
    <w:rsid w:val="0074168C"/>
    <w:rsid w:val="00744FB9"/>
    <w:rsid w:val="007F7FE6"/>
    <w:rsid w:val="00826B34"/>
    <w:rsid w:val="009027DE"/>
    <w:rsid w:val="00950AB6"/>
    <w:rsid w:val="00954F0B"/>
    <w:rsid w:val="009D4DDE"/>
    <w:rsid w:val="00B25018"/>
    <w:rsid w:val="00BD2404"/>
    <w:rsid w:val="00C1402C"/>
    <w:rsid w:val="00C81AF1"/>
    <w:rsid w:val="00CB637D"/>
    <w:rsid w:val="00DB009E"/>
    <w:rsid w:val="00DE1FB4"/>
    <w:rsid w:val="00E6081F"/>
    <w:rsid w:val="00E77F09"/>
    <w:rsid w:val="00E86809"/>
    <w:rsid w:val="00ED31EC"/>
    <w:rsid w:val="00F074B5"/>
    <w:rsid w:val="00F626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796AD-670C-4501-9A0A-BF1A6CED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Num1">
    <w:name w:val="WWNum1"/>
    <w:basedOn w:val="Sinlista"/>
    <w:rsid w:val="0074168C"/>
    <w:pPr>
      <w:numPr>
        <w:numId w:val="3"/>
      </w:numPr>
    </w:pPr>
  </w:style>
  <w:style w:type="paragraph" w:styleId="Encabezado">
    <w:name w:val="header"/>
    <w:basedOn w:val="Normal"/>
    <w:link w:val="EncabezadoCar"/>
    <w:uiPriority w:val="99"/>
    <w:unhideWhenUsed/>
    <w:rsid w:val="00CB63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637D"/>
  </w:style>
  <w:style w:type="paragraph" w:styleId="Piedepgina">
    <w:name w:val="footer"/>
    <w:basedOn w:val="Normal"/>
    <w:link w:val="PiedepginaCar"/>
    <w:uiPriority w:val="99"/>
    <w:unhideWhenUsed/>
    <w:rsid w:val="00CB63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637D"/>
  </w:style>
  <w:style w:type="paragraph" w:styleId="Textodeglobo">
    <w:name w:val="Balloon Text"/>
    <w:basedOn w:val="Normal"/>
    <w:link w:val="TextodegloboCar"/>
    <w:uiPriority w:val="99"/>
    <w:semiHidden/>
    <w:unhideWhenUsed/>
    <w:rsid w:val="00621B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68EE-A40E-4AB6-91DB-D3D3311B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2824</Words>
  <Characters>15538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jfu</dc:creator>
  <cp:keywords/>
  <dc:description/>
  <cp:lastModifiedBy>jfu</cp:lastModifiedBy>
  <cp:revision>14</cp:revision>
  <cp:lastPrinted>2022-04-07T14:02:00Z</cp:lastPrinted>
  <dcterms:created xsi:type="dcterms:W3CDTF">2022-04-06T15:24:00Z</dcterms:created>
  <dcterms:modified xsi:type="dcterms:W3CDTF">2022-04-18T14:54:00Z</dcterms:modified>
</cp:coreProperties>
</file>