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137D1" w14:textId="3E478E6E" w:rsidR="00653FBC" w:rsidRPr="00C77C96" w:rsidRDefault="002617CD" w:rsidP="00A30B7A">
      <w:pPr>
        <w:spacing w:line="276" w:lineRule="auto"/>
        <w:jc w:val="center"/>
        <w:rPr>
          <w:rFonts w:asciiTheme="minorHAnsi" w:hAnsiTheme="minorHAnsi" w:cs="Arial"/>
          <w:sz w:val="24"/>
          <w:szCs w:val="24"/>
          <w:u w:val="single"/>
        </w:rPr>
      </w:pPr>
      <w:r w:rsidRPr="00C77C96">
        <w:rPr>
          <w:rFonts w:asciiTheme="minorHAnsi" w:eastAsia="Arial Unicode MS" w:hAnsiTheme="minorHAnsi" w:cstheme="minorHAnsi"/>
          <w:b/>
          <w:bCs/>
          <w:sz w:val="24"/>
          <w:szCs w:val="24"/>
          <w:u w:val="single"/>
          <w:lang w:eastAsia="es-ES"/>
        </w:rPr>
        <w:br/>
      </w:r>
      <w:r w:rsidR="00A30B7A" w:rsidRPr="00C77C96">
        <w:rPr>
          <w:rFonts w:asciiTheme="minorHAnsi" w:hAnsiTheme="minorHAnsi" w:cs="Arial"/>
          <w:sz w:val="24"/>
          <w:szCs w:val="24"/>
          <w:u w:val="single"/>
        </w:rPr>
        <w:t>Proyecto de Ley</w:t>
      </w:r>
    </w:p>
    <w:p w14:paraId="70823707" w14:textId="77777777" w:rsidR="002D0A8A" w:rsidRPr="00C77C96" w:rsidRDefault="002D0A8A" w:rsidP="00653FBC">
      <w:pPr>
        <w:spacing w:line="276" w:lineRule="auto"/>
        <w:jc w:val="both"/>
        <w:rPr>
          <w:rFonts w:asciiTheme="minorHAnsi" w:hAnsiTheme="minorHAnsi" w:cs="Arial"/>
          <w:sz w:val="24"/>
          <w:szCs w:val="24"/>
          <w:lang w:val="es-ES_tradnl"/>
        </w:rPr>
      </w:pPr>
    </w:p>
    <w:p w14:paraId="7C88082F" w14:textId="77777777" w:rsidR="00653FBC" w:rsidRPr="00C77C96" w:rsidRDefault="00653FBC" w:rsidP="00A30B7A">
      <w:pPr>
        <w:spacing w:line="276" w:lineRule="auto"/>
        <w:jc w:val="center"/>
        <w:rPr>
          <w:rFonts w:asciiTheme="minorHAnsi" w:hAnsiTheme="minorHAnsi" w:cs="Arial"/>
          <w:sz w:val="24"/>
          <w:szCs w:val="24"/>
        </w:rPr>
      </w:pPr>
      <w:r w:rsidRPr="00C77C96">
        <w:rPr>
          <w:rFonts w:asciiTheme="minorHAnsi" w:hAnsiTheme="minorHAnsi" w:cs="Arial"/>
          <w:sz w:val="24"/>
          <w:szCs w:val="24"/>
          <w:lang w:val="es-ES_tradnl"/>
        </w:rPr>
        <w:t>LA LEGISLATURA DE LA PROVINCIA DE ENTRE RÍOS</w:t>
      </w:r>
    </w:p>
    <w:p w14:paraId="4E85F5D6" w14:textId="77777777" w:rsidR="002D0A8A" w:rsidRPr="00C77C96" w:rsidRDefault="002D0A8A" w:rsidP="00A30B7A">
      <w:pPr>
        <w:spacing w:line="276" w:lineRule="auto"/>
        <w:jc w:val="center"/>
        <w:rPr>
          <w:rFonts w:asciiTheme="minorHAnsi" w:hAnsiTheme="minorHAnsi" w:cs="Arial"/>
          <w:sz w:val="24"/>
          <w:szCs w:val="24"/>
          <w:lang w:val="es-ES_tradnl"/>
        </w:rPr>
      </w:pPr>
    </w:p>
    <w:p w14:paraId="161F8EE8" w14:textId="55304F16" w:rsidR="00653FBC" w:rsidRPr="00C77C96" w:rsidRDefault="00653FBC" w:rsidP="00A30B7A">
      <w:pPr>
        <w:spacing w:line="276" w:lineRule="auto"/>
        <w:jc w:val="center"/>
        <w:rPr>
          <w:rFonts w:asciiTheme="minorHAnsi" w:hAnsiTheme="minorHAnsi" w:cs="Arial"/>
          <w:sz w:val="24"/>
          <w:szCs w:val="24"/>
        </w:rPr>
      </w:pPr>
      <w:r w:rsidRPr="00C77C96">
        <w:rPr>
          <w:rFonts w:asciiTheme="minorHAnsi" w:hAnsiTheme="minorHAnsi" w:cs="Arial"/>
          <w:sz w:val="24"/>
          <w:szCs w:val="24"/>
          <w:lang w:val="es-ES_tradnl"/>
        </w:rPr>
        <w:t>SANCIONA CON FUERZA DE LEY</w:t>
      </w:r>
    </w:p>
    <w:p w14:paraId="53BA1E04" w14:textId="77777777" w:rsidR="00653FBC" w:rsidRPr="00C77C96" w:rsidRDefault="00653FBC" w:rsidP="00653FBC">
      <w:pPr>
        <w:spacing w:line="276" w:lineRule="auto"/>
        <w:jc w:val="both"/>
        <w:rPr>
          <w:rFonts w:asciiTheme="minorHAnsi" w:hAnsiTheme="minorHAnsi" w:cs="Arial"/>
          <w:sz w:val="24"/>
          <w:szCs w:val="24"/>
          <w:lang w:val="es-ES_tradnl"/>
        </w:rPr>
      </w:pPr>
    </w:p>
    <w:p w14:paraId="261E6116" w14:textId="7A31E273" w:rsidR="00653FBC" w:rsidRPr="00C77C96" w:rsidRDefault="00A30B7A" w:rsidP="00653FBC">
      <w:pPr>
        <w:spacing w:line="276" w:lineRule="auto"/>
        <w:jc w:val="both"/>
        <w:rPr>
          <w:rFonts w:asciiTheme="minorHAnsi" w:hAnsiTheme="minorHAnsi" w:cs="Arial"/>
          <w:sz w:val="24"/>
          <w:szCs w:val="24"/>
          <w:lang w:val="es-ES_tradnl"/>
        </w:rPr>
      </w:pPr>
      <w:r w:rsidRPr="00C77C96">
        <w:rPr>
          <w:rFonts w:asciiTheme="minorHAnsi" w:hAnsiTheme="minorHAnsi" w:cs="Arial"/>
          <w:b/>
          <w:sz w:val="24"/>
          <w:szCs w:val="24"/>
          <w:lang w:val="es-ES_tradnl"/>
        </w:rPr>
        <w:t>PRIMERO.</w:t>
      </w:r>
      <w:r w:rsidR="00653FBC" w:rsidRPr="00C77C96">
        <w:rPr>
          <w:rFonts w:asciiTheme="minorHAnsi" w:hAnsiTheme="minorHAnsi" w:cs="Arial"/>
          <w:sz w:val="24"/>
          <w:szCs w:val="24"/>
          <w:lang w:val="es-ES_tradnl"/>
        </w:rPr>
        <w:t xml:space="preserve"> Adhiérase la Provincia de Entre Ríos a la Ley Nacional Nro. 27.553, de teleasistencia y recetas electrónicas o digitales.</w:t>
      </w:r>
    </w:p>
    <w:p w14:paraId="3956DD2E" w14:textId="77777777" w:rsidR="00653FBC" w:rsidRPr="00C77C96" w:rsidRDefault="00653FBC" w:rsidP="00653FBC">
      <w:pPr>
        <w:spacing w:line="276" w:lineRule="auto"/>
        <w:jc w:val="both"/>
        <w:rPr>
          <w:rFonts w:asciiTheme="minorHAnsi" w:hAnsiTheme="minorHAnsi" w:cs="Arial"/>
          <w:sz w:val="24"/>
          <w:szCs w:val="24"/>
          <w:lang w:val="es-ES_tradnl"/>
        </w:rPr>
      </w:pPr>
    </w:p>
    <w:p w14:paraId="767F5677" w14:textId="648A5749" w:rsidR="00653FBC" w:rsidRPr="00C77C96" w:rsidRDefault="00A30B7A" w:rsidP="00653FBC">
      <w:pPr>
        <w:spacing w:line="276" w:lineRule="auto"/>
        <w:jc w:val="both"/>
        <w:rPr>
          <w:rFonts w:asciiTheme="minorHAnsi" w:hAnsiTheme="minorHAnsi" w:cs="Arial"/>
          <w:color w:val="FF0000"/>
          <w:sz w:val="24"/>
          <w:szCs w:val="24"/>
          <w:lang w:val="es-ES_tradnl"/>
        </w:rPr>
      </w:pPr>
      <w:r w:rsidRPr="00C77C96">
        <w:rPr>
          <w:rFonts w:asciiTheme="minorHAnsi" w:hAnsiTheme="minorHAnsi" w:cs="Arial"/>
          <w:b/>
          <w:sz w:val="24"/>
          <w:szCs w:val="24"/>
          <w:lang w:val="es-ES_tradnl"/>
        </w:rPr>
        <w:t>SEGUNDO</w:t>
      </w:r>
      <w:r w:rsidR="00653FBC" w:rsidRPr="00C77C96">
        <w:rPr>
          <w:rFonts w:asciiTheme="minorHAnsi" w:hAnsiTheme="minorHAnsi" w:cs="Arial"/>
          <w:b/>
          <w:sz w:val="24"/>
          <w:szCs w:val="24"/>
          <w:lang w:val="es-ES_tradnl"/>
        </w:rPr>
        <w:t>.</w:t>
      </w:r>
      <w:r w:rsidR="00653FBC" w:rsidRPr="00C77C96">
        <w:rPr>
          <w:rFonts w:asciiTheme="minorHAnsi" w:hAnsiTheme="minorHAnsi" w:cs="Arial"/>
          <w:sz w:val="24"/>
          <w:szCs w:val="24"/>
          <w:lang w:val="es-ES_tradnl"/>
        </w:rPr>
        <w:t xml:space="preserve"> Desígnese como Autoridad de Aplicación al Ministerio de Salud de la Provincia de Entre Ríos o al órgano que </w:t>
      </w:r>
      <w:r w:rsidRPr="00C77C96">
        <w:rPr>
          <w:rFonts w:asciiTheme="minorHAnsi" w:hAnsiTheme="minorHAnsi" w:cs="Arial"/>
          <w:sz w:val="24"/>
          <w:szCs w:val="24"/>
          <w:lang w:val="es-ES_tradnl"/>
        </w:rPr>
        <w:t xml:space="preserve">en </w:t>
      </w:r>
      <w:r w:rsidR="00653FBC" w:rsidRPr="00C77C96">
        <w:rPr>
          <w:rFonts w:asciiTheme="minorHAnsi" w:hAnsiTheme="minorHAnsi" w:cs="Arial"/>
          <w:sz w:val="24"/>
          <w:szCs w:val="24"/>
          <w:lang w:val="es-ES_tradnl"/>
        </w:rPr>
        <w:t>el futuro lo reemplace</w:t>
      </w:r>
      <w:r w:rsidRPr="00C77C96">
        <w:rPr>
          <w:rFonts w:asciiTheme="minorHAnsi" w:hAnsiTheme="minorHAnsi" w:cs="Arial"/>
          <w:sz w:val="24"/>
          <w:szCs w:val="24"/>
          <w:lang w:val="es-ES_tradnl"/>
        </w:rPr>
        <w:t>.</w:t>
      </w:r>
    </w:p>
    <w:p w14:paraId="16F046C6" w14:textId="77777777" w:rsidR="00653FBC" w:rsidRPr="00C77C96" w:rsidRDefault="00653FBC" w:rsidP="00653FBC">
      <w:pPr>
        <w:spacing w:line="276" w:lineRule="auto"/>
        <w:jc w:val="both"/>
        <w:rPr>
          <w:rFonts w:asciiTheme="minorHAnsi" w:hAnsiTheme="minorHAnsi" w:cs="Arial"/>
          <w:sz w:val="24"/>
          <w:szCs w:val="24"/>
          <w:lang w:val="es-ES_tradnl"/>
        </w:rPr>
      </w:pPr>
    </w:p>
    <w:p w14:paraId="0E250C65" w14:textId="15331A72" w:rsidR="00653FBC" w:rsidRPr="00C77C96" w:rsidRDefault="00A30B7A" w:rsidP="00653FBC">
      <w:pPr>
        <w:spacing w:line="276" w:lineRule="auto"/>
        <w:jc w:val="both"/>
        <w:rPr>
          <w:rFonts w:asciiTheme="minorHAnsi" w:hAnsiTheme="minorHAnsi" w:cs="Arial"/>
          <w:sz w:val="24"/>
          <w:szCs w:val="24"/>
          <w:lang w:val="es-ES_tradnl"/>
        </w:rPr>
      </w:pPr>
      <w:r w:rsidRPr="00C77C96">
        <w:rPr>
          <w:rFonts w:asciiTheme="minorHAnsi" w:hAnsiTheme="minorHAnsi" w:cs="Arial"/>
          <w:b/>
          <w:sz w:val="24"/>
          <w:szCs w:val="24"/>
          <w:lang w:val="es-ES_tradnl"/>
        </w:rPr>
        <w:t>TERCERO.</w:t>
      </w:r>
      <w:r w:rsidR="00653FBC" w:rsidRPr="00C77C96">
        <w:rPr>
          <w:rFonts w:asciiTheme="minorHAnsi" w:hAnsiTheme="minorHAnsi" w:cs="Arial"/>
          <w:sz w:val="24"/>
          <w:szCs w:val="24"/>
          <w:lang w:val="es-ES_tradnl"/>
        </w:rPr>
        <w:t xml:space="preserve"> La Autoridad de Aplicación arbitrará los mecanismos necesarios para la implementación de la teleasistencia y las recetas electrónicas o digitales en todo el territorio provincial.</w:t>
      </w:r>
    </w:p>
    <w:p w14:paraId="71989A8E" w14:textId="77777777" w:rsidR="00A30B7A" w:rsidRPr="00C77C96" w:rsidRDefault="00A30B7A" w:rsidP="00653FBC">
      <w:pPr>
        <w:spacing w:line="276" w:lineRule="auto"/>
        <w:jc w:val="both"/>
        <w:rPr>
          <w:rFonts w:asciiTheme="minorHAnsi" w:hAnsiTheme="minorHAnsi" w:cs="Arial"/>
          <w:sz w:val="24"/>
          <w:szCs w:val="24"/>
          <w:lang w:val="es-ES_tradnl"/>
        </w:rPr>
      </w:pPr>
    </w:p>
    <w:p w14:paraId="066E1BE5" w14:textId="726BB93B" w:rsidR="00A30B7A" w:rsidRPr="00C77C96" w:rsidRDefault="00A30B7A" w:rsidP="00653FBC">
      <w:pPr>
        <w:spacing w:line="276" w:lineRule="auto"/>
        <w:jc w:val="both"/>
        <w:rPr>
          <w:rFonts w:asciiTheme="minorHAnsi" w:hAnsiTheme="minorHAnsi" w:cs="Arial"/>
          <w:sz w:val="24"/>
          <w:szCs w:val="24"/>
        </w:rPr>
      </w:pPr>
      <w:r w:rsidRPr="00C77C96">
        <w:rPr>
          <w:rFonts w:asciiTheme="minorHAnsi" w:hAnsiTheme="minorHAnsi" w:cs="Arial"/>
          <w:b/>
          <w:sz w:val="24"/>
          <w:szCs w:val="24"/>
          <w:lang w:val="es-ES_tradnl"/>
        </w:rPr>
        <w:t>CUARTO</w:t>
      </w:r>
      <w:r w:rsidRPr="00C77C96">
        <w:rPr>
          <w:rFonts w:asciiTheme="minorHAnsi" w:hAnsiTheme="minorHAnsi" w:cs="Arial"/>
          <w:sz w:val="24"/>
          <w:szCs w:val="24"/>
          <w:lang w:val="es-ES_tradnl"/>
        </w:rPr>
        <w:t>. Comuníquese.</w:t>
      </w:r>
    </w:p>
    <w:p w14:paraId="3E59273A" w14:textId="77777777" w:rsidR="00653FBC" w:rsidRPr="00C77C96" w:rsidRDefault="00653FBC" w:rsidP="00653FBC">
      <w:pPr>
        <w:spacing w:line="276" w:lineRule="auto"/>
        <w:jc w:val="both"/>
        <w:rPr>
          <w:rFonts w:asciiTheme="minorHAnsi" w:hAnsiTheme="minorHAnsi" w:cs="Arial"/>
          <w:sz w:val="24"/>
          <w:szCs w:val="24"/>
        </w:rPr>
      </w:pPr>
    </w:p>
    <w:p w14:paraId="7D42C02C" w14:textId="77777777" w:rsidR="00653FBC" w:rsidRPr="00C77C96" w:rsidRDefault="00653FBC" w:rsidP="00653FBC">
      <w:pPr>
        <w:spacing w:line="276" w:lineRule="auto"/>
        <w:jc w:val="both"/>
        <w:rPr>
          <w:rFonts w:asciiTheme="minorHAnsi" w:hAnsiTheme="minorHAnsi" w:cs="Arial"/>
          <w:sz w:val="24"/>
          <w:szCs w:val="24"/>
        </w:rPr>
      </w:pPr>
    </w:p>
    <w:p w14:paraId="04D34B9A" w14:textId="77777777" w:rsidR="00653FBC" w:rsidRPr="00C77C96" w:rsidRDefault="00653FBC" w:rsidP="00653FBC">
      <w:pPr>
        <w:spacing w:line="276" w:lineRule="auto"/>
        <w:jc w:val="both"/>
        <w:rPr>
          <w:rFonts w:asciiTheme="minorHAnsi" w:hAnsiTheme="minorHAnsi" w:cs="Arial"/>
          <w:sz w:val="24"/>
          <w:szCs w:val="24"/>
        </w:rPr>
      </w:pPr>
    </w:p>
    <w:p w14:paraId="390810E9" w14:textId="77777777" w:rsidR="00653FBC" w:rsidRPr="00C77C96" w:rsidRDefault="00653FBC" w:rsidP="00653FBC">
      <w:pPr>
        <w:spacing w:line="276" w:lineRule="auto"/>
        <w:jc w:val="both"/>
        <w:rPr>
          <w:rFonts w:asciiTheme="minorHAnsi" w:hAnsiTheme="minorHAnsi" w:cs="Arial"/>
          <w:sz w:val="24"/>
          <w:szCs w:val="24"/>
        </w:rPr>
      </w:pPr>
    </w:p>
    <w:p w14:paraId="057D9CCE" w14:textId="77777777" w:rsidR="00653FBC" w:rsidRPr="00C77C96" w:rsidRDefault="00653FBC" w:rsidP="00653FBC">
      <w:pPr>
        <w:spacing w:line="276" w:lineRule="auto"/>
        <w:jc w:val="both"/>
        <w:rPr>
          <w:rFonts w:asciiTheme="minorHAnsi" w:hAnsiTheme="minorHAnsi" w:cs="Arial"/>
          <w:sz w:val="24"/>
          <w:szCs w:val="24"/>
          <w:u w:val="single"/>
        </w:rPr>
      </w:pPr>
    </w:p>
    <w:p w14:paraId="3EF53C5D" w14:textId="77777777" w:rsidR="00653FBC" w:rsidRPr="00C77C96" w:rsidRDefault="00653FBC" w:rsidP="00653FBC">
      <w:pPr>
        <w:spacing w:line="276" w:lineRule="auto"/>
        <w:jc w:val="both"/>
        <w:rPr>
          <w:rFonts w:asciiTheme="minorHAnsi" w:hAnsiTheme="minorHAnsi" w:cs="Arial"/>
          <w:sz w:val="24"/>
          <w:szCs w:val="24"/>
          <w:u w:val="single"/>
        </w:rPr>
      </w:pPr>
    </w:p>
    <w:p w14:paraId="61199818" w14:textId="77777777" w:rsidR="00653FBC" w:rsidRPr="00C77C96" w:rsidRDefault="00653FBC" w:rsidP="00653FBC">
      <w:pPr>
        <w:spacing w:line="276" w:lineRule="auto"/>
        <w:jc w:val="both"/>
        <w:rPr>
          <w:rFonts w:asciiTheme="minorHAnsi" w:hAnsiTheme="minorHAnsi" w:cs="Arial"/>
          <w:sz w:val="24"/>
          <w:szCs w:val="24"/>
          <w:u w:val="single"/>
        </w:rPr>
      </w:pPr>
    </w:p>
    <w:p w14:paraId="2DECC888" w14:textId="77777777" w:rsidR="00653FBC" w:rsidRPr="00C77C96" w:rsidRDefault="00653FBC" w:rsidP="00653FBC">
      <w:pPr>
        <w:spacing w:line="276" w:lineRule="auto"/>
        <w:jc w:val="both"/>
        <w:rPr>
          <w:rFonts w:asciiTheme="minorHAnsi" w:hAnsiTheme="minorHAnsi" w:cs="Arial"/>
          <w:sz w:val="24"/>
          <w:szCs w:val="24"/>
          <w:u w:val="single"/>
        </w:rPr>
      </w:pPr>
    </w:p>
    <w:p w14:paraId="6FD5CDE3" w14:textId="77777777" w:rsidR="00653FBC" w:rsidRPr="00C77C96" w:rsidRDefault="00653FBC" w:rsidP="00653FBC">
      <w:pPr>
        <w:spacing w:line="276" w:lineRule="auto"/>
        <w:jc w:val="both"/>
        <w:rPr>
          <w:rFonts w:asciiTheme="minorHAnsi" w:hAnsiTheme="minorHAnsi" w:cs="Arial"/>
          <w:sz w:val="24"/>
          <w:szCs w:val="24"/>
          <w:u w:val="single"/>
        </w:rPr>
      </w:pPr>
    </w:p>
    <w:p w14:paraId="78487E6A" w14:textId="77777777" w:rsidR="00653FBC" w:rsidRPr="00C77C96" w:rsidRDefault="00653FBC" w:rsidP="00653FBC">
      <w:pPr>
        <w:spacing w:line="276" w:lineRule="auto"/>
        <w:jc w:val="both"/>
        <w:rPr>
          <w:rFonts w:asciiTheme="minorHAnsi" w:hAnsiTheme="minorHAnsi" w:cs="Arial"/>
          <w:sz w:val="24"/>
          <w:szCs w:val="24"/>
          <w:u w:val="single"/>
        </w:rPr>
      </w:pPr>
    </w:p>
    <w:p w14:paraId="10269994" w14:textId="77777777" w:rsidR="00653FBC" w:rsidRPr="00C77C96" w:rsidRDefault="00653FBC" w:rsidP="00653FBC">
      <w:pPr>
        <w:spacing w:line="276" w:lineRule="auto"/>
        <w:jc w:val="both"/>
        <w:rPr>
          <w:rFonts w:asciiTheme="minorHAnsi" w:hAnsiTheme="minorHAnsi" w:cs="Arial"/>
          <w:sz w:val="24"/>
          <w:szCs w:val="24"/>
          <w:u w:val="single"/>
        </w:rPr>
      </w:pPr>
    </w:p>
    <w:p w14:paraId="33DE79FD" w14:textId="77777777" w:rsidR="00653FBC" w:rsidRPr="00C77C96" w:rsidRDefault="00653FBC" w:rsidP="00653FBC">
      <w:pPr>
        <w:spacing w:line="276" w:lineRule="auto"/>
        <w:jc w:val="both"/>
        <w:rPr>
          <w:rFonts w:asciiTheme="minorHAnsi" w:hAnsiTheme="minorHAnsi" w:cs="Arial"/>
          <w:sz w:val="24"/>
          <w:szCs w:val="24"/>
          <w:u w:val="single"/>
        </w:rPr>
      </w:pPr>
    </w:p>
    <w:p w14:paraId="78FAB3BA" w14:textId="77777777" w:rsidR="00653FBC" w:rsidRPr="00C77C96" w:rsidRDefault="00653FBC" w:rsidP="00653FBC">
      <w:pPr>
        <w:spacing w:line="276" w:lineRule="auto"/>
        <w:jc w:val="both"/>
        <w:rPr>
          <w:rFonts w:asciiTheme="minorHAnsi" w:hAnsiTheme="minorHAnsi" w:cs="Arial"/>
          <w:sz w:val="24"/>
          <w:szCs w:val="24"/>
          <w:u w:val="single"/>
        </w:rPr>
      </w:pPr>
    </w:p>
    <w:p w14:paraId="44CDD816" w14:textId="77777777" w:rsidR="00653FBC" w:rsidRPr="00C77C96" w:rsidRDefault="00653FBC" w:rsidP="00653FBC">
      <w:pPr>
        <w:spacing w:line="276" w:lineRule="auto"/>
        <w:jc w:val="both"/>
        <w:rPr>
          <w:rFonts w:asciiTheme="minorHAnsi" w:hAnsiTheme="minorHAnsi" w:cs="Arial"/>
          <w:sz w:val="24"/>
          <w:szCs w:val="24"/>
          <w:u w:val="single"/>
        </w:rPr>
      </w:pPr>
    </w:p>
    <w:p w14:paraId="27E7A507" w14:textId="77777777" w:rsidR="00653FBC" w:rsidRPr="00C77C96" w:rsidRDefault="00653FBC" w:rsidP="00653FBC">
      <w:pPr>
        <w:spacing w:line="276" w:lineRule="auto"/>
        <w:jc w:val="both"/>
        <w:rPr>
          <w:rFonts w:asciiTheme="minorHAnsi" w:hAnsiTheme="minorHAnsi" w:cs="Arial"/>
          <w:sz w:val="24"/>
          <w:szCs w:val="24"/>
          <w:u w:val="single"/>
        </w:rPr>
      </w:pPr>
    </w:p>
    <w:p w14:paraId="7CB2B9A2" w14:textId="77777777" w:rsidR="00653FBC" w:rsidRPr="00C77C96" w:rsidRDefault="00653FBC" w:rsidP="00653FBC">
      <w:pPr>
        <w:spacing w:line="276" w:lineRule="auto"/>
        <w:jc w:val="both"/>
        <w:rPr>
          <w:rFonts w:asciiTheme="minorHAnsi" w:hAnsiTheme="minorHAnsi" w:cs="Arial"/>
          <w:sz w:val="24"/>
          <w:szCs w:val="24"/>
          <w:u w:val="single"/>
        </w:rPr>
      </w:pPr>
    </w:p>
    <w:p w14:paraId="6F886F9D" w14:textId="77777777" w:rsidR="00653FBC" w:rsidRPr="00C77C96" w:rsidRDefault="00653FBC" w:rsidP="00653FBC">
      <w:pPr>
        <w:spacing w:line="276" w:lineRule="auto"/>
        <w:jc w:val="both"/>
        <w:rPr>
          <w:rFonts w:asciiTheme="minorHAnsi" w:hAnsiTheme="minorHAnsi" w:cs="Arial"/>
          <w:sz w:val="24"/>
          <w:szCs w:val="24"/>
          <w:u w:val="single"/>
        </w:rPr>
      </w:pPr>
    </w:p>
    <w:p w14:paraId="602ECC4D" w14:textId="77777777" w:rsidR="00653FBC" w:rsidRPr="00C77C96" w:rsidRDefault="00653FBC" w:rsidP="00653FBC">
      <w:pPr>
        <w:spacing w:line="276" w:lineRule="auto"/>
        <w:jc w:val="both"/>
        <w:rPr>
          <w:rFonts w:asciiTheme="minorHAnsi" w:hAnsiTheme="minorHAnsi" w:cs="Arial"/>
          <w:sz w:val="24"/>
          <w:szCs w:val="24"/>
          <w:u w:val="single"/>
        </w:rPr>
      </w:pPr>
    </w:p>
    <w:p w14:paraId="7E607FF5" w14:textId="77777777" w:rsidR="00653FBC" w:rsidRPr="00C77C96" w:rsidRDefault="00653FBC" w:rsidP="00653FBC">
      <w:pPr>
        <w:spacing w:line="276" w:lineRule="auto"/>
        <w:jc w:val="both"/>
        <w:rPr>
          <w:rFonts w:asciiTheme="minorHAnsi" w:hAnsiTheme="minorHAnsi" w:cs="Arial"/>
          <w:sz w:val="24"/>
          <w:szCs w:val="24"/>
          <w:u w:val="single"/>
        </w:rPr>
      </w:pPr>
    </w:p>
    <w:p w14:paraId="5719DFF9" w14:textId="77777777" w:rsidR="00653FBC" w:rsidRPr="00C77C96" w:rsidRDefault="00653FBC" w:rsidP="00653FBC">
      <w:pPr>
        <w:spacing w:line="276" w:lineRule="auto"/>
        <w:jc w:val="both"/>
        <w:rPr>
          <w:rFonts w:asciiTheme="minorHAnsi" w:hAnsiTheme="minorHAnsi" w:cs="Arial"/>
          <w:sz w:val="24"/>
          <w:szCs w:val="24"/>
          <w:u w:val="single"/>
        </w:rPr>
      </w:pPr>
    </w:p>
    <w:p w14:paraId="16B24AF8" w14:textId="77777777" w:rsidR="00653FBC" w:rsidRPr="00C77C96" w:rsidRDefault="00653FBC" w:rsidP="00653FBC">
      <w:pPr>
        <w:spacing w:line="276" w:lineRule="auto"/>
        <w:jc w:val="both"/>
        <w:rPr>
          <w:rFonts w:asciiTheme="minorHAnsi" w:hAnsiTheme="minorHAnsi" w:cs="Arial"/>
          <w:sz w:val="24"/>
          <w:szCs w:val="24"/>
          <w:u w:val="single"/>
        </w:rPr>
      </w:pPr>
    </w:p>
    <w:p w14:paraId="50F2DB11" w14:textId="77777777" w:rsidR="00653FBC" w:rsidRPr="00C77C96" w:rsidRDefault="00653FBC" w:rsidP="00653FBC">
      <w:pPr>
        <w:spacing w:line="276" w:lineRule="auto"/>
        <w:jc w:val="both"/>
        <w:rPr>
          <w:rFonts w:asciiTheme="minorHAnsi" w:hAnsiTheme="minorHAnsi" w:cs="Arial"/>
          <w:sz w:val="24"/>
          <w:szCs w:val="24"/>
          <w:u w:val="single"/>
        </w:rPr>
      </w:pPr>
    </w:p>
    <w:p w14:paraId="0FCB0640" w14:textId="77777777" w:rsidR="00653FBC" w:rsidRPr="00C77C96" w:rsidRDefault="00653FBC" w:rsidP="00653FBC">
      <w:pPr>
        <w:spacing w:line="276" w:lineRule="auto"/>
        <w:jc w:val="both"/>
        <w:rPr>
          <w:rFonts w:asciiTheme="minorHAnsi" w:hAnsiTheme="minorHAnsi" w:cs="Arial"/>
          <w:sz w:val="24"/>
          <w:szCs w:val="24"/>
          <w:u w:val="single"/>
        </w:rPr>
      </w:pPr>
    </w:p>
    <w:p w14:paraId="7ABB8E60" w14:textId="77777777" w:rsidR="00653FBC" w:rsidRPr="00C77C96" w:rsidRDefault="00653FBC" w:rsidP="00653FBC">
      <w:pPr>
        <w:spacing w:line="276" w:lineRule="auto"/>
        <w:jc w:val="both"/>
        <w:rPr>
          <w:rFonts w:asciiTheme="minorHAnsi" w:hAnsiTheme="minorHAnsi" w:cs="Arial"/>
          <w:sz w:val="24"/>
          <w:szCs w:val="24"/>
          <w:u w:val="single"/>
        </w:rPr>
      </w:pPr>
    </w:p>
    <w:p w14:paraId="085203DF" w14:textId="77777777" w:rsidR="00653FBC" w:rsidRPr="00C77C96" w:rsidRDefault="00653FBC" w:rsidP="00653FBC">
      <w:pPr>
        <w:spacing w:line="276" w:lineRule="auto"/>
        <w:jc w:val="center"/>
        <w:rPr>
          <w:rFonts w:asciiTheme="minorHAnsi" w:hAnsiTheme="minorHAnsi" w:cs="Arial"/>
          <w:sz w:val="24"/>
          <w:szCs w:val="24"/>
          <w:u w:val="single"/>
        </w:rPr>
      </w:pPr>
    </w:p>
    <w:p w14:paraId="4D6B3364" w14:textId="77777777" w:rsidR="00653FBC" w:rsidRPr="00665949" w:rsidRDefault="00653FBC" w:rsidP="00653FBC">
      <w:pPr>
        <w:spacing w:line="276" w:lineRule="auto"/>
        <w:jc w:val="center"/>
        <w:rPr>
          <w:rFonts w:asciiTheme="minorHAnsi" w:hAnsiTheme="minorHAnsi" w:cs="Arial"/>
          <w:b/>
        </w:rPr>
      </w:pPr>
      <w:r w:rsidRPr="00665949">
        <w:rPr>
          <w:rFonts w:asciiTheme="minorHAnsi" w:hAnsiTheme="minorHAnsi" w:cs="Arial"/>
          <w:b/>
        </w:rPr>
        <w:t>FUNDAMENTOS</w:t>
      </w:r>
    </w:p>
    <w:p w14:paraId="249F51B5" w14:textId="77777777" w:rsidR="00653FBC" w:rsidRPr="00665949" w:rsidRDefault="00653FBC" w:rsidP="00653FBC">
      <w:pPr>
        <w:spacing w:line="276" w:lineRule="auto"/>
        <w:jc w:val="both"/>
        <w:rPr>
          <w:rFonts w:asciiTheme="minorHAnsi" w:hAnsiTheme="minorHAnsi" w:cs="Arial"/>
        </w:rPr>
      </w:pPr>
    </w:p>
    <w:p w14:paraId="3B38FEC0" w14:textId="77777777" w:rsidR="00C77C96" w:rsidRPr="00665949" w:rsidRDefault="00C77C96" w:rsidP="00C77C96">
      <w:pPr>
        <w:spacing w:line="276" w:lineRule="auto"/>
        <w:jc w:val="both"/>
        <w:rPr>
          <w:rFonts w:asciiTheme="minorHAnsi" w:eastAsia="Times New Roman" w:hAnsiTheme="minorHAnsi" w:cs="Arial"/>
          <w:color w:val="454246"/>
          <w:lang w:eastAsia="es-AR"/>
        </w:rPr>
      </w:pPr>
      <w:r w:rsidRPr="00665949">
        <w:rPr>
          <w:rFonts w:asciiTheme="minorHAnsi" w:eastAsia="Times New Roman" w:hAnsiTheme="minorHAnsi" w:cs="Arial"/>
          <w:color w:val="454246"/>
          <w:lang w:eastAsia="es-AR"/>
        </w:rPr>
        <w:t xml:space="preserve">Es importante que nuestra provincia avance al unísono con la legislación nacional que amplía derechos a las personas. Darle tratamiento provincial a la legislación objeto de este proyecto, a la cual se pretende adherir, es un avance en ese sentido. </w:t>
      </w:r>
    </w:p>
    <w:p w14:paraId="1491D64E" w14:textId="77777777" w:rsidR="00C77C96" w:rsidRPr="00665949" w:rsidRDefault="00C77C96" w:rsidP="00C77C96">
      <w:pPr>
        <w:spacing w:line="276" w:lineRule="auto"/>
        <w:jc w:val="both"/>
        <w:rPr>
          <w:rFonts w:asciiTheme="minorHAnsi" w:eastAsia="Times New Roman" w:hAnsiTheme="minorHAnsi" w:cs="Arial"/>
          <w:color w:val="454246"/>
          <w:lang w:eastAsia="es-AR"/>
        </w:rPr>
      </w:pPr>
    </w:p>
    <w:p w14:paraId="39D73DE9" w14:textId="77777777" w:rsidR="00C77C96" w:rsidRPr="00665949" w:rsidRDefault="00C77C96" w:rsidP="00C77C96">
      <w:pPr>
        <w:spacing w:line="276" w:lineRule="auto"/>
        <w:jc w:val="both"/>
        <w:rPr>
          <w:rFonts w:asciiTheme="minorHAnsi" w:eastAsia="Times New Roman" w:hAnsiTheme="minorHAnsi" w:cs="Arial"/>
          <w:color w:val="454246"/>
          <w:lang w:eastAsia="es-AR"/>
        </w:rPr>
      </w:pPr>
      <w:r w:rsidRPr="00665949">
        <w:rPr>
          <w:rFonts w:asciiTheme="minorHAnsi" w:eastAsia="Times New Roman" w:hAnsiTheme="minorHAnsi" w:cs="Arial"/>
          <w:color w:val="454246"/>
          <w:lang w:eastAsia="es-AR"/>
        </w:rPr>
        <w:t>La pandemia que nos aqueja vino a dejar al descubierto muchas injusticias e inequidades de nuestra sociedad y de todo nuestro ordenamiento jurídico. En ese esquema hay cuestiones que podemos atender y otras que nos exceden como Estado Provincial, por ejemplo, aquellas injusticias que dicta el orden geopolítico, cuyas variables responden a procesos históricos en los que no es sencillo incidir, y menos aún desde un Estado Provincial. Ahora bien, esta crisis ha dejado al desnudo muchas cuestiones sobre las que sí podemos trabajar y debemos hacerlo.</w:t>
      </w:r>
    </w:p>
    <w:p w14:paraId="116EE9BE" w14:textId="77777777" w:rsidR="00C77C96" w:rsidRPr="00665949" w:rsidRDefault="00C77C96" w:rsidP="00C77C96">
      <w:pPr>
        <w:spacing w:line="276" w:lineRule="auto"/>
        <w:jc w:val="both"/>
        <w:rPr>
          <w:rFonts w:asciiTheme="minorHAnsi" w:eastAsia="Times New Roman" w:hAnsiTheme="minorHAnsi" w:cs="Arial"/>
          <w:color w:val="454246"/>
          <w:lang w:eastAsia="es-AR"/>
        </w:rPr>
      </w:pPr>
    </w:p>
    <w:p w14:paraId="6709C62F" w14:textId="77777777" w:rsidR="00C77C96" w:rsidRPr="00665949" w:rsidRDefault="00C77C96" w:rsidP="00C77C96">
      <w:pPr>
        <w:spacing w:line="276" w:lineRule="auto"/>
        <w:jc w:val="both"/>
        <w:rPr>
          <w:rFonts w:asciiTheme="minorHAnsi" w:eastAsia="Times New Roman" w:hAnsiTheme="minorHAnsi" w:cs="Arial"/>
          <w:color w:val="454246"/>
          <w:lang w:eastAsia="es-AR"/>
        </w:rPr>
      </w:pPr>
      <w:r w:rsidRPr="00665949">
        <w:rPr>
          <w:rFonts w:asciiTheme="minorHAnsi" w:eastAsia="Times New Roman" w:hAnsiTheme="minorHAnsi" w:cs="Arial"/>
          <w:color w:val="454246"/>
          <w:lang w:eastAsia="es-AR"/>
        </w:rPr>
        <w:t>Entre esas cuestiones sobre las que sí podemos trabajar se encuentra esta ley nacional que vino a saldar una deuda histórica en la materia, adaptándose a las nuevas tecnologías, a la nueva realidad que nos circunda, y la cual el Estado no puede dejar de acompasar en pos de garantizar y ampliar derechos a las personas.</w:t>
      </w:r>
    </w:p>
    <w:p w14:paraId="7D04E0B2" w14:textId="77777777" w:rsidR="00C77C96" w:rsidRPr="00665949" w:rsidRDefault="00C77C96" w:rsidP="00C77C96">
      <w:pPr>
        <w:spacing w:line="276" w:lineRule="auto"/>
        <w:jc w:val="both"/>
        <w:rPr>
          <w:rFonts w:asciiTheme="minorHAnsi" w:eastAsia="Times New Roman" w:hAnsiTheme="minorHAnsi" w:cs="Arial"/>
          <w:color w:val="454246"/>
          <w:lang w:eastAsia="es-AR"/>
        </w:rPr>
      </w:pPr>
    </w:p>
    <w:p w14:paraId="3F2D14E2" w14:textId="77777777" w:rsidR="00C77C96" w:rsidRPr="00665949" w:rsidRDefault="00C77C96" w:rsidP="00C77C96">
      <w:pPr>
        <w:spacing w:line="276" w:lineRule="auto"/>
        <w:jc w:val="both"/>
        <w:rPr>
          <w:rFonts w:asciiTheme="minorHAnsi" w:eastAsia="Times New Roman" w:hAnsiTheme="minorHAnsi" w:cs="Arial"/>
          <w:color w:val="454246"/>
          <w:lang w:eastAsia="es-AR"/>
        </w:rPr>
      </w:pPr>
      <w:r w:rsidRPr="00665949">
        <w:rPr>
          <w:rFonts w:asciiTheme="minorHAnsi" w:eastAsia="Times New Roman" w:hAnsiTheme="minorHAnsi" w:cs="Arial"/>
          <w:color w:val="454246"/>
          <w:lang w:eastAsia="es-AR"/>
        </w:rPr>
        <w:t>Por ello hacemos nuestros la gran mayoría de los argumentos del proyecto original presentado en el Congreso de la Nación, los cuales recogen la realidad y la decodifican en lenguaje normativo, actualizando legislación muy añeja que impedía la utilización de la tecnología en materia médica.</w:t>
      </w:r>
    </w:p>
    <w:p w14:paraId="3F8704A2" w14:textId="77777777" w:rsidR="00C77C96" w:rsidRPr="00665949" w:rsidRDefault="00C77C96" w:rsidP="00C77C96">
      <w:pPr>
        <w:spacing w:line="276" w:lineRule="auto"/>
        <w:jc w:val="both"/>
        <w:rPr>
          <w:rFonts w:asciiTheme="minorHAnsi" w:eastAsia="Times New Roman" w:hAnsiTheme="minorHAnsi" w:cs="Arial"/>
          <w:color w:val="454246"/>
          <w:lang w:eastAsia="es-AR"/>
        </w:rPr>
      </w:pPr>
    </w:p>
    <w:p w14:paraId="39C98F39" w14:textId="77777777" w:rsidR="00C77C96" w:rsidRPr="00665949" w:rsidRDefault="00C77C96" w:rsidP="00C77C96">
      <w:pPr>
        <w:spacing w:line="276" w:lineRule="auto"/>
        <w:jc w:val="both"/>
        <w:rPr>
          <w:rFonts w:asciiTheme="minorHAnsi" w:eastAsia="Times New Roman" w:hAnsiTheme="minorHAnsi" w:cs="Arial"/>
          <w:color w:val="454246"/>
          <w:lang w:eastAsia="es-AR"/>
        </w:rPr>
      </w:pPr>
      <w:r w:rsidRPr="00665949">
        <w:rPr>
          <w:rFonts w:asciiTheme="minorHAnsi" w:eastAsia="Times New Roman" w:hAnsiTheme="minorHAnsi" w:cs="Arial"/>
          <w:color w:val="454246"/>
          <w:lang w:eastAsia="es-AR"/>
        </w:rPr>
        <w:t>Es habitual que ante un territorio desconocido como lo es el digital y las nuevas tecnologías tengamos ciertas resistencias, sobre todo frente a los miedos que provoca la posibilidad de que algo se escape al control del Estado en razón de que el informático es un mundo intangible y muy avanzado en comparación a la modernización de las administraciones estatales. Pero estos obstáculos no deben detenernos, sino que deben impulsarnos a sortearlos.</w:t>
      </w:r>
    </w:p>
    <w:p w14:paraId="0488456B" w14:textId="77777777" w:rsidR="00C77C96" w:rsidRPr="00665949" w:rsidRDefault="00C77C96" w:rsidP="00C77C96">
      <w:pPr>
        <w:spacing w:line="276" w:lineRule="auto"/>
        <w:jc w:val="both"/>
        <w:rPr>
          <w:rFonts w:asciiTheme="minorHAnsi" w:eastAsia="Times New Roman" w:hAnsiTheme="minorHAnsi" w:cs="Arial"/>
          <w:color w:val="454246"/>
          <w:lang w:eastAsia="es-AR"/>
        </w:rPr>
      </w:pPr>
    </w:p>
    <w:p w14:paraId="710318C5" w14:textId="77777777" w:rsidR="000102A5" w:rsidRPr="00665949" w:rsidRDefault="000102A5" w:rsidP="000102A5">
      <w:pPr>
        <w:spacing w:line="276" w:lineRule="auto"/>
        <w:jc w:val="both"/>
        <w:rPr>
          <w:rFonts w:asciiTheme="minorHAnsi" w:eastAsia="Times New Roman" w:hAnsiTheme="minorHAnsi" w:cs="Arial"/>
          <w:color w:val="454246"/>
          <w:lang w:eastAsia="es-AR"/>
        </w:rPr>
      </w:pPr>
      <w:r w:rsidRPr="00665949">
        <w:rPr>
          <w:rFonts w:asciiTheme="minorHAnsi" w:eastAsia="Times New Roman" w:hAnsiTheme="minorHAnsi" w:cs="Arial"/>
          <w:color w:val="454246"/>
          <w:lang w:eastAsia="es-AR"/>
        </w:rPr>
        <w:t>En este aspecto, rezan los fundamentos del proyecto nacional que:</w:t>
      </w:r>
    </w:p>
    <w:p w14:paraId="1EDA22B9" w14:textId="77777777" w:rsidR="000102A5" w:rsidRPr="00665949" w:rsidRDefault="000102A5" w:rsidP="000102A5">
      <w:pPr>
        <w:spacing w:line="276" w:lineRule="auto"/>
        <w:ind w:left="720"/>
        <w:jc w:val="both"/>
        <w:rPr>
          <w:rFonts w:asciiTheme="minorHAnsi" w:eastAsia="Times New Roman" w:hAnsiTheme="minorHAnsi" w:cs="Arial"/>
          <w:color w:val="454246"/>
          <w:lang w:eastAsia="es-AR"/>
        </w:rPr>
      </w:pPr>
      <w:r w:rsidRPr="00665949">
        <w:rPr>
          <w:rFonts w:asciiTheme="minorHAnsi" w:eastAsia="Times New Roman" w:hAnsiTheme="minorHAnsi" w:cs="Arial"/>
          <w:color w:val="454246"/>
          <w:lang w:eastAsia="es-AR"/>
        </w:rPr>
        <w:br/>
        <w:t xml:space="preserve"> “Es habitual escuchar “tiene letra de médico” para calificar una escritura ilegible. Esto, que puede parecer hasta algo cultural inherente a la profesión, suele causar numerosos inconvenientes por lo que muchos países han implementado legislaciones correctivas, como es el caso de la presente propuesta”.</w:t>
      </w:r>
    </w:p>
    <w:p w14:paraId="3172CF13" w14:textId="77777777" w:rsidR="000102A5" w:rsidRPr="00665949" w:rsidRDefault="000102A5" w:rsidP="000102A5">
      <w:pPr>
        <w:spacing w:line="276" w:lineRule="auto"/>
        <w:ind w:left="720"/>
        <w:jc w:val="both"/>
        <w:rPr>
          <w:rFonts w:asciiTheme="minorHAnsi" w:eastAsia="Times New Roman" w:hAnsiTheme="minorHAnsi" w:cs="Arial"/>
          <w:color w:val="454246"/>
          <w:lang w:eastAsia="es-AR"/>
        </w:rPr>
      </w:pPr>
    </w:p>
    <w:p w14:paraId="7ADBC6D3" w14:textId="08C4627D" w:rsidR="00C77C96" w:rsidRPr="00665949" w:rsidRDefault="00C77C96" w:rsidP="00C77C96">
      <w:pPr>
        <w:spacing w:line="276" w:lineRule="auto"/>
        <w:jc w:val="both"/>
        <w:rPr>
          <w:rFonts w:asciiTheme="minorHAnsi" w:eastAsia="Times New Roman" w:hAnsiTheme="minorHAnsi" w:cs="Arial"/>
          <w:color w:val="454246"/>
          <w:lang w:eastAsia="es-AR"/>
        </w:rPr>
      </w:pPr>
      <w:r w:rsidRPr="00665949">
        <w:rPr>
          <w:rFonts w:asciiTheme="minorHAnsi" w:eastAsia="Times New Roman" w:hAnsiTheme="minorHAnsi" w:cs="Arial"/>
          <w:color w:val="454246"/>
          <w:lang w:eastAsia="es-AR"/>
        </w:rPr>
        <w:t>Se puede decir que hay distintas hipótesis de por qué se ha instalado esta antigua y deplorable costumbre de prescribir con letra ilegible, pero más allá de la verificación de estas hipótesis, hoy por hoy contamos con las herramientas tecnológicas para suplir esta forma de prescripción, gradualmente, y evitar todos esos inconvenientes que genera. Decimos esto en razón de que la ley no viene a reemplazar la prescripción médica manuscrita, sino que viene a legitimar la prescripción digital, ampliando posibilidades haciendo uso de las nuevas tecnologías, como así también habilitando la posibilidad del uso de plataformas de teleasistencia.</w:t>
      </w:r>
    </w:p>
    <w:p w14:paraId="5C678C41" w14:textId="77777777" w:rsidR="00C77C96" w:rsidRPr="00665949" w:rsidRDefault="00C77C96" w:rsidP="00C77C96">
      <w:pPr>
        <w:spacing w:line="276" w:lineRule="auto"/>
        <w:jc w:val="both"/>
        <w:rPr>
          <w:rFonts w:asciiTheme="minorHAnsi" w:eastAsia="Times New Roman" w:hAnsiTheme="minorHAnsi" w:cs="Arial"/>
          <w:color w:val="454246"/>
          <w:lang w:eastAsia="es-AR"/>
        </w:rPr>
      </w:pPr>
    </w:p>
    <w:p w14:paraId="42D50C07" w14:textId="77777777" w:rsidR="000102A5" w:rsidRPr="00665949" w:rsidRDefault="000102A5" w:rsidP="000102A5">
      <w:pPr>
        <w:spacing w:line="276" w:lineRule="auto"/>
        <w:jc w:val="both"/>
        <w:rPr>
          <w:rFonts w:asciiTheme="minorHAnsi" w:eastAsia="Times New Roman" w:hAnsiTheme="minorHAnsi" w:cs="Arial"/>
          <w:color w:val="454246"/>
          <w:lang w:eastAsia="es-AR"/>
        </w:rPr>
      </w:pPr>
      <w:r w:rsidRPr="00665949">
        <w:rPr>
          <w:rFonts w:asciiTheme="minorHAnsi" w:eastAsia="Times New Roman" w:hAnsiTheme="minorHAnsi" w:cs="Arial"/>
          <w:color w:val="454246"/>
          <w:lang w:eastAsia="es-AR"/>
        </w:rPr>
        <w:t>En ese sentido, se continúa argumentando en el proyecto original que:</w:t>
      </w:r>
    </w:p>
    <w:p w14:paraId="023B4B27" w14:textId="77777777" w:rsidR="000102A5" w:rsidRPr="00665949" w:rsidRDefault="000102A5" w:rsidP="000102A5">
      <w:pPr>
        <w:spacing w:line="276" w:lineRule="auto"/>
        <w:jc w:val="both"/>
        <w:rPr>
          <w:rFonts w:asciiTheme="minorHAnsi" w:eastAsia="Times New Roman" w:hAnsiTheme="minorHAnsi" w:cs="Arial"/>
          <w:color w:val="454246"/>
          <w:lang w:eastAsia="es-AR"/>
        </w:rPr>
      </w:pPr>
    </w:p>
    <w:p w14:paraId="37BECC25" w14:textId="77777777" w:rsidR="000102A5" w:rsidRPr="00665949" w:rsidRDefault="000102A5" w:rsidP="000102A5">
      <w:pPr>
        <w:spacing w:line="276" w:lineRule="auto"/>
        <w:ind w:left="720"/>
        <w:jc w:val="both"/>
        <w:rPr>
          <w:rFonts w:asciiTheme="minorHAnsi" w:eastAsia="Times New Roman" w:hAnsiTheme="minorHAnsi" w:cs="Arial"/>
          <w:color w:val="454246"/>
          <w:lang w:eastAsia="es-AR"/>
        </w:rPr>
      </w:pPr>
      <w:r w:rsidRPr="00665949">
        <w:rPr>
          <w:rFonts w:asciiTheme="minorHAnsi" w:eastAsia="Times New Roman" w:hAnsiTheme="minorHAnsi" w:cs="Arial"/>
          <w:color w:val="454246"/>
          <w:lang w:eastAsia="es-AR"/>
        </w:rPr>
        <w:t xml:space="preserve"> “La prescripción médica en formato manuscrito, tal como lo prevé nuestra legislación nacional actual, ocasiona en muchos casos serios inconvenientes por su ilegibilidad a pacientes, farmacéuticos, otros profesionales que deben realizar estudios y empleados de los centros de salud. En algunos casos se ha sometido a pacientes a la prescripción de un medicamente diferente, por errores humanos en el momento de la lectura de la orden médica. Incluso en muchas oportunidades se les pide a los pacientes que regresen con una nueva prescripción, con las consiguientes molestias y perjuicios que ello representa”.</w:t>
      </w:r>
    </w:p>
    <w:p w14:paraId="2DAA6B08" w14:textId="77777777" w:rsidR="000102A5" w:rsidRPr="00665949" w:rsidRDefault="000102A5" w:rsidP="000102A5">
      <w:pPr>
        <w:spacing w:line="276" w:lineRule="auto"/>
        <w:ind w:left="720"/>
        <w:jc w:val="both"/>
        <w:rPr>
          <w:rFonts w:asciiTheme="minorHAnsi" w:eastAsia="Times New Roman" w:hAnsiTheme="minorHAnsi" w:cs="Arial"/>
          <w:i/>
          <w:color w:val="454246"/>
          <w:lang w:eastAsia="es-AR"/>
        </w:rPr>
      </w:pPr>
    </w:p>
    <w:p w14:paraId="7DD8D63D" w14:textId="77777777" w:rsidR="000102A5" w:rsidRPr="00665949" w:rsidRDefault="000102A5" w:rsidP="000102A5">
      <w:pPr>
        <w:spacing w:line="276" w:lineRule="auto"/>
        <w:ind w:left="720"/>
        <w:jc w:val="both"/>
        <w:rPr>
          <w:rFonts w:asciiTheme="minorHAnsi" w:eastAsia="Times New Roman" w:hAnsiTheme="minorHAnsi" w:cs="Arial"/>
          <w:color w:val="454246"/>
          <w:lang w:eastAsia="es-AR"/>
        </w:rPr>
      </w:pPr>
      <w:r w:rsidRPr="00665949">
        <w:rPr>
          <w:rFonts w:asciiTheme="minorHAnsi" w:eastAsia="Times New Roman" w:hAnsiTheme="minorHAnsi" w:cs="Arial"/>
          <w:color w:val="454246"/>
          <w:lang w:eastAsia="es-AR"/>
        </w:rPr>
        <w:t>[…] “En igual sentido, la letra ilegible en la indicación de prácticas ha ocasionado que pacientes se terminaron efectuando estudios distintos a los prescriptos. También se suscitan inconvenientes en la lectura de certificados médicos, sobre todo en aquellos que deben presentarse en empresas aseguradoras de riesgos de trabajo. En este tema también debemos tener en cuenta que si se receta con el nombre genérico (mencionar el medicamento con el nombre científico, de la/s drogas que lo componen y no por la marca del laboratorio), se evitan problemas, porque cuando se receta marcas comerciales se presta a confusión ya que existen marcas parecidas, pero de distinta composición y su administración puede ocasionar serios inconvenientes por las contraindicaciones. Y además no se está cumpliendo con la Ley 25649, DE PRESCRIPCIÓN DE MEDICAMENTOS POR SU NOMBRE GENÉRICO”.</w:t>
      </w:r>
    </w:p>
    <w:p w14:paraId="029FD52E" w14:textId="77777777" w:rsidR="000102A5" w:rsidRPr="00665949" w:rsidRDefault="000102A5" w:rsidP="000102A5">
      <w:pPr>
        <w:spacing w:line="276" w:lineRule="auto"/>
        <w:jc w:val="both"/>
        <w:rPr>
          <w:rFonts w:asciiTheme="minorHAnsi" w:eastAsia="Times New Roman" w:hAnsiTheme="minorHAnsi" w:cs="Arial"/>
          <w:i/>
          <w:color w:val="454246"/>
          <w:lang w:eastAsia="es-AR"/>
        </w:rPr>
      </w:pPr>
    </w:p>
    <w:p w14:paraId="42546492" w14:textId="77777777" w:rsidR="00C77C96" w:rsidRPr="00665949" w:rsidRDefault="00C77C96" w:rsidP="00C77C96">
      <w:pPr>
        <w:spacing w:line="276" w:lineRule="auto"/>
        <w:jc w:val="both"/>
        <w:rPr>
          <w:rFonts w:asciiTheme="minorHAnsi" w:eastAsia="Times New Roman" w:hAnsiTheme="minorHAnsi" w:cs="Arial"/>
          <w:i/>
          <w:color w:val="454246"/>
          <w:lang w:eastAsia="es-AR"/>
        </w:rPr>
      </w:pPr>
    </w:p>
    <w:p w14:paraId="4E989601" w14:textId="77777777" w:rsidR="000102A5" w:rsidRPr="00665949" w:rsidRDefault="000102A5" w:rsidP="000102A5">
      <w:pPr>
        <w:spacing w:line="276" w:lineRule="auto"/>
        <w:jc w:val="both"/>
        <w:rPr>
          <w:rFonts w:asciiTheme="minorHAnsi" w:eastAsia="Times New Roman" w:hAnsiTheme="minorHAnsi" w:cs="Arial"/>
          <w:color w:val="454246"/>
          <w:lang w:eastAsia="es-AR"/>
        </w:rPr>
      </w:pPr>
      <w:r w:rsidRPr="00665949">
        <w:rPr>
          <w:rFonts w:asciiTheme="minorHAnsi" w:eastAsia="Times New Roman" w:hAnsiTheme="minorHAnsi" w:cs="Arial"/>
          <w:color w:val="454246"/>
          <w:lang w:eastAsia="es-AR"/>
        </w:rPr>
        <w:t>Por otro lado, no es menos destacable que esta nueva Ley Nacional vino a corregir en parte una ley de épocas oscuras, la Ley 17.132, sancionada el 24 de enero de 1967 durante la dictadura de Juan Carlos Onganía. Respecto de esto, se ha argumentado en el proyecto original que:</w:t>
      </w:r>
    </w:p>
    <w:p w14:paraId="4EBF85B2" w14:textId="77777777" w:rsidR="000102A5" w:rsidRPr="00665949" w:rsidRDefault="000102A5" w:rsidP="000102A5">
      <w:pPr>
        <w:spacing w:line="276" w:lineRule="auto"/>
        <w:ind w:left="720"/>
        <w:jc w:val="both"/>
        <w:rPr>
          <w:rFonts w:asciiTheme="minorHAnsi" w:eastAsia="Times New Roman" w:hAnsiTheme="minorHAnsi" w:cs="Arial"/>
          <w:i/>
          <w:color w:val="454246"/>
          <w:lang w:eastAsia="es-AR"/>
        </w:rPr>
      </w:pPr>
      <w:r w:rsidRPr="00665949">
        <w:rPr>
          <w:rFonts w:asciiTheme="minorHAnsi" w:eastAsia="Times New Roman" w:hAnsiTheme="minorHAnsi" w:cs="Arial"/>
          <w:color w:val="454246"/>
          <w:lang w:eastAsia="es-AR"/>
        </w:rPr>
        <w:br/>
        <w:t xml:space="preserve"> “[…] en la presente iniciativa proponemos una nueva redacción al inciso 7º de la Ley 17132 REGLAS PARA EL EJERCICIO DE LA MEDICINA, ODONTOLOGÍA Y ACTIVIDAD DE COLABORACIÓN DE LAS MISMAS, atendiendo a dos aspectos: a su legibilidad y a cumplir con la prescripción de medicamentos genéricos, ya que si bien es algo regulado por otra norma entendemos que debe contemplarse en esta Ley y en su artículo 19 que es el que establece las obligaciones para los profesionales que ejerzan la medicina. Creemos que esta propuesta es posible de implementar en nuestro país y a la brevedad por el bajo costo que significa adaptarse a ella. En un futuro no muy lejano confiamos en que estén dadas las condiciones sociales, económicas y de igualdad de posibilidades en todo el país, para poder implementar la receta electrónica y su vinculación inmediata con la historia clínica digital establecida en el artículo 13 de la Ley 26529 de DERECHOS DEL PACIENTE EN SU RELACIÓN CON LOS PROFESIONALES E INSTITUCIONES DE LA SALUD”.</w:t>
      </w:r>
    </w:p>
    <w:p w14:paraId="75E8FB4D" w14:textId="77777777" w:rsidR="00C77C96" w:rsidRPr="00665949" w:rsidRDefault="00C77C96" w:rsidP="00C77C96">
      <w:pPr>
        <w:spacing w:line="276" w:lineRule="auto"/>
        <w:jc w:val="both"/>
        <w:rPr>
          <w:rFonts w:asciiTheme="minorHAnsi" w:eastAsia="Times New Roman" w:hAnsiTheme="minorHAnsi" w:cs="Arial"/>
          <w:i/>
          <w:color w:val="454246"/>
          <w:lang w:eastAsia="es-AR"/>
        </w:rPr>
      </w:pPr>
    </w:p>
    <w:p w14:paraId="05FDA925" w14:textId="77777777" w:rsidR="00C77C96" w:rsidRPr="00665949" w:rsidRDefault="00C77C96" w:rsidP="00C77C96">
      <w:pPr>
        <w:spacing w:line="276" w:lineRule="auto"/>
        <w:jc w:val="both"/>
        <w:rPr>
          <w:rFonts w:asciiTheme="minorHAnsi" w:eastAsia="Times New Roman" w:hAnsiTheme="minorHAnsi" w:cs="Arial"/>
          <w:color w:val="454246"/>
          <w:lang w:eastAsia="es-AR"/>
        </w:rPr>
      </w:pPr>
      <w:r w:rsidRPr="00665949">
        <w:rPr>
          <w:rFonts w:asciiTheme="minorHAnsi" w:eastAsia="Times New Roman" w:hAnsiTheme="minorHAnsi" w:cs="Arial"/>
          <w:color w:val="454246"/>
          <w:lang w:eastAsia="es-AR"/>
        </w:rPr>
        <w:t>No es menor el hecho de que no solo viene a solucionarse una cuestión histórica en cuanto a las recetas manuscritas, sino que en el marco de la pandemia que nos atraviesa es fundamental adoptar y adherir a todas las medidas que tiendan a garantizar el distanciamiento social y reducir las posibilidades de contagios, sobre todo en situaciones médicas donde usuarios y personal de salud se ven expuestos a la posibilidad de contagio de SARS-CoV-2.</w:t>
      </w:r>
    </w:p>
    <w:p w14:paraId="6F4EA0C5" w14:textId="77777777" w:rsidR="00C77C96" w:rsidRPr="00665949" w:rsidRDefault="00C77C96" w:rsidP="00C77C96">
      <w:pPr>
        <w:spacing w:line="276" w:lineRule="auto"/>
        <w:jc w:val="both"/>
        <w:rPr>
          <w:rFonts w:asciiTheme="minorHAnsi" w:eastAsia="Times New Roman" w:hAnsiTheme="minorHAnsi" w:cs="Arial"/>
          <w:color w:val="454246"/>
          <w:lang w:eastAsia="es-AR"/>
        </w:rPr>
      </w:pPr>
    </w:p>
    <w:p w14:paraId="367A857A" w14:textId="12ED7A69" w:rsidR="00C77C96" w:rsidRPr="00665949" w:rsidRDefault="00C77C96" w:rsidP="00C77C96">
      <w:pPr>
        <w:spacing w:line="276" w:lineRule="auto"/>
        <w:jc w:val="both"/>
        <w:rPr>
          <w:rFonts w:asciiTheme="minorHAnsi" w:hAnsiTheme="minorHAnsi" w:cs="Arial"/>
          <w:i/>
        </w:rPr>
      </w:pPr>
      <w:r w:rsidRPr="00665949">
        <w:rPr>
          <w:rFonts w:asciiTheme="minorHAnsi" w:eastAsia="Times New Roman" w:hAnsiTheme="minorHAnsi" w:cs="Arial"/>
          <w:color w:val="454246"/>
          <w:lang w:eastAsia="es-AR"/>
        </w:rPr>
        <w:t>En síntesis, estimamos que la adhesión provincial va a ser útil para que los entrerrianos y entrerrianas se adapten a los nuevos desafíos tecnológicos y se generen mejores condiciones para acceder a una salud de calidad tanto en el ámbito público como en el privado.</w:t>
      </w:r>
    </w:p>
    <w:p w14:paraId="0E8C57D2" w14:textId="5F812FF0" w:rsidR="003F656F" w:rsidRPr="00C77C96" w:rsidRDefault="003F656F" w:rsidP="003F656F">
      <w:pPr>
        <w:spacing w:before="100" w:beforeAutospacing="1" w:line="360" w:lineRule="auto"/>
        <w:jc w:val="center"/>
        <w:rPr>
          <w:rFonts w:asciiTheme="minorHAnsi" w:eastAsia="Arial Unicode MS" w:hAnsiTheme="minorHAnsi" w:cstheme="minorHAnsi"/>
          <w:sz w:val="24"/>
          <w:szCs w:val="24"/>
          <w:lang w:eastAsia="es-ES"/>
        </w:rPr>
      </w:pPr>
    </w:p>
    <w:sectPr w:rsidR="003F656F" w:rsidRPr="00C77C96">
      <w:headerReference w:type="default" r:id="rId8"/>
      <w:footerReference w:type="default" r:id="rId9"/>
      <w:pgSz w:w="11910" w:h="16840"/>
      <w:pgMar w:top="680" w:right="460" w:bottom="1320" w:left="1600" w:header="0" w:footer="11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2B6334" w14:textId="77777777" w:rsidR="004E157E" w:rsidRDefault="004E157E">
      <w:r>
        <w:separator/>
      </w:r>
    </w:p>
  </w:endnote>
  <w:endnote w:type="continuationSeparator" w:id="0">
    <w:p w14:paraId="6F87595B" w14:textId="77777777" w:rsidR="004E157E" w:rsidRDefault="004E1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eX Gyre Bonum">
    <w:altName w:val="Times New Roman"/>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rlito">
    <w:altName w:val="Calibri"/>
    <w:charset w:val="00"/>
    <w:family w:val="swiss"/>
    <w:pitch w:val="variable"/>
    <w:sig w:usb0="00000001" w:usb1="5000E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B67FE" w14:textId="77777777" w:rsidR="0067345E" w:rsidRDefault="0067345E">
    <w:pPr>
      <w:pStyle w:val="Piedepgina"/>
      <w:pBdr>
        <w:top w:val="thinThickSmallGap" w:sz="24" w:space="1" w:color="622423" w:themeColor="accent2" w:themeShade="7F"/>
      </w:pBdr>
      <w:rPr>
        <w:rFonts w:asciiTheme="majorHAnsi" w:eastAsiaTheme="majorEastAsia" w:hAnsiTheme="majorHAnsi" w:cstheme="majorBidi"/>
      </w:rPr>
    </w:pPr>
    <w:r>
      <w:rPr>
        <w:rFonts w:ascii="Carlito" w:hAnsi="Carlito"/>
        <w:b/>
        <w:sz w:val="16"/>
      </w:rPr>
      <w:t xml:space="preserve">Nogoyá 50, 7° B | Paraná, Entre Ríos </w:t>
    </w:r>
    <w:r>
      <w:rPr>
        <w:rFonts w:ascii="Carlito" w:hAnsi="Carlito"/>
        <w:b/>
        <w:sz w:val="16"/>
      </w:rPr>
      <w:br/>
      <w:t xml:space="preserve">Tel.: (0343) 4208123 | 4208120 </w:t>
    </w:r>
    <w:hyperlink r:id="rId1">
      <w:r>
        <w:rPr>
          <w:rFonts w:ascii="Carlito"/>
          <w:b/>
          <w:sz w:val="16"/>
        </w:rPr>
        <w:t>maradey@mailsenadoer.gob.ar</w:t>
      </w:r>
    </w:hyperlink>
    <w:r>
      <w:rPr>
        <w:rFonts w:ascii="Carlito"/>
        <w:b/>
        <w:sz w:val="16"/>
      </w:rPr>
      <w:t xml:space="preserve"> </w:t>
    </w:r>
  </w:p>
  <w:p w14:paraId="5B913EEF" w14:textId="77777777" w:rsidR="000F072A" w:rsidRDefault="000F072A">
    <w:pPr>
      <w:pStyle w:val="Textoindependiente"/>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F0009" w14:textId="77777777" w:rsidR="004E157E" w:rsidRDefault="004E157E">
      <w:r>
        <w:separator/>
      </w:r>
    </w:p>
  </w:footnote>
  <w:footnote w:type="continuationSeparator" w:id="0">
    <w:p w14:paraId="7D0C4451" w14:textId="77777777" w:rsidR="004E157E" w:rsidRDefault="004E1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B694F" w14:textId="77777777" w:rsidR="00BF2C8C" w:rsidRDefault="00BF2C8C" w:rsidP="00BF2C8C">
    <w:pPr>
      <w:pStyle w:val="Encabezado"/>
      <w:rPr>
        <w:rFonts w:ascii="Times New Roman"/>
        <w:noProof/>
        <w:sz w:val="20"/>
        <w:lang w:val="es-AR" w:eastAsia="es-AR"/>
      </w:rPr>
    </w:pPr>
  </w:p>
  <w:p w14:paraId="5EF3BD69" w14:textId="77777777" w:rsidR="001A105B" w:rsidRDefault="001A105B" w:rsidP="00BF2C8C">
    <w:pPr>
      <w:pStyle w:val="Encabezado"/>
      <w:rPr>
        <w:rFonts w:ascii="Times New Roman"/>
        <w:noProof/>
        <w:sz w:val="20"/>
        <w:lang w:val="es-AR" w:eastAsia="es-AR"/>
      </w:rPr>
    </w:pPr>
  </w:p>
  <w:p w14:paraId="47B64A73" w14:textId="77777777" w:rsidR="001A105B" w:rsidRDefault="001A105B" w:rsidP="00BF2C8C">
    <w:pPr>
      <w:pStyle w:val="Encabezado"/>
      <w:rPr>
        <w:rFonts w:ascii="Times New Roman"/>
        <w:noProof/>
        <w:sz w:val="20"/>
        <w:lang w:val="es-AR" w:eastAsia="es-AR"/>
      </w:rPr>
    </w:pPr>
  </w:p>
  <w:p w14:paraId="3752E76F" w14:textId="77777777" w:rsidR="005B2228" w:rsidRDefault="005B2228" w:rsidP="005B2228">
    <w:pPr>
      <w:pStyle w:val="Encabezado"/>
      <w:jc w:val="right"/>
      <w:rPr>
        <w:rFonts w:ascii="Times New Roman"/>
        <w:noProof/>
        <w:position w:val="1"/>
        <w:sz w:val="20"/>
        <w:lang w:val="es-AR" w:eastAsia="es-AR"/>
      </w:rPr>
    </w:pPr>
    <w:r>
      <w:rPr>
        <w:rFonts w:ascii="Times New Roman"/>
        <w:noProof/>
        <w:sz w:val="20"/>
        <w:lang w:val="es-AR" w:eastAsia="es-AR"/>
      </w:rPr>
      <w:t xml:space="preserve">  </w:t>
    </w:r>
    <w:r>
      <w:rPr>
        <w:rFonts w:ascii="Times New Roman"/>
        <w:noProof/>
        <w:sz w:val="20"/>
        <w:lang w:val="es-AR" w:eastAsia="es-AR"/>
      </w:rPr>
      <w:drawing>
        <wp:inline distT="0" distB="0" distL="0" distR="0" wp14:anchorId="5D2CD139" wp14:editId="1B635106">
          <wp:extent cx="1961626" cy="641268"/>
          <wp:effectExtent l="0" t="0" r="0" b="0"/>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977460" cy="646444"/>
                  </a:xfrm>
                  <a:prstGeom prst="rect">
                    <a:avLst/>
                  </a:prstGeom>
                </pic:spPr>
              </pic:pic>
            </a:graphicData>
          </a:graphic>
        </wp:inline>
      </w:drawing>
    </w:r>
    <w:r>
      <w:rPr>
        <w:rFonts w:ascii="Times New Roman"/>
        <w:noProof/>
        <w:position w:val="1"/>
        <w:sz w:val="20"/>
        <w:lang w:val="es-AR" w:eastAsia="es-AR"/>
      </w:rPr>
      <w:t xml:space="preserve"> </w:t>
    </w:r>
    <w:r w:rsidR="00BF2C8C">
      <w:rPr>
        <w:rFonts w:ascii="Times New Roman"/>
        <w:noProof/>
        <w:position w:val="1"/>
        <w:sz w:val="20"/>
        <w:lang w:val="es-AR" w:eastAsia="es-AR"/>
      </w:rPr>
      <w:t xml:space="preserve">    </w:t>
    </w:r>
    <w:r>
      <w:rPr>
        <w:rFonts w:ascii="Times New Roman"/>
        <w:noProof/>
        <w:position w:val="1"/>
        <w:sz w:val="20"/>
        <w:lang w:val="es-AR" w:eastAsia="es-AR"/>
      </w:rPr>
      <w:drawing>
        <wp:inline distT="0" distB="0" distL="0" distR="0" wp14:anchorId="4C281A70" wp14:editId="398B0A90">
          <wp:extent cx="683812" cy="678733"/>
          <wp:effectExtent l="0" t="0" r="0"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676200" cy="671177"/>
                  </a:xfrm>
                  <a:prstGeom prst="rect">
                    <a:avLst/>
                  </a:prstGeom>
                </pic:spPr>
              </pic:pic>
            </a:graphicData>
          </a:graphic>
        </wp:inline>
      </w:drawing>
    </w:r>
  </w:p>
  <w:p w14:paraId="02855602" w14:textId="77777777" w:rsidR="001A105B" w:rsidRDefault="001A105B" w:rsidP="005B2228">
    <w:pPr>
      <w:pStyle w:val="Encabezado"/>
      <w:jc w:val="right"/>
      <w:rPr>
        <w:rFonts w:ascii="Times New Roman"/>
        <w:noProof/>
        <w:position w:val="1"/>
        <w:sz w:val="20"/>
        <w:lang w:val="es-AR" w:eastAsia="es-AR"/>
      </w:rPr>
    </w:pPr>
  </w:p>
  <w:p w14:paraId="5041458B" w14:textId="77777777" w:rsidR="00BF2C8C" w:rsidRDefault="00BF2C8C" w:rsidP="005B2228">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C13773"/>
    <w:multiLevelType w:val="hybridMultilevel"/>
    <w:tmpl w:val="CD90ABFA"/>
    <w:lvl w:ilvl="0" w:tplc="0720D46E">
      <w:start w:val="1"/>
      <w:numFmt w:val="upperLetter"/>
      <w:lvlText w:val="%1)"/>
      <w:lvlJc w:val="left"/>
      <w:pPr>
        <w:ind w:left="1244" w:hanging="360"/>
      </w:pPr>
      <w:rPr>
        <w:rFonts w:ascii="TeX Gyre Bonum" w:eastAsia="TeX Gyre Bonum" w:hAnsi="TeX Gyre Bonum" w:cs="TeX Gyre Bonum" w:hint="default"/>
        <w:spacing w:val="-29"/>
        <w:w w:val="99"/>
        <w:sz w:val="24"/>
        <w:szCs w:val="24"/>
        <w:lang w:val="es-ES" w:eastAsia="en-US" w:bidi="ar-SA"/>
      </w:rPr>
    </w:lvl>
    <w:lvl w:ilvl="1" w:tplc="FBAA2A96">
      <w:numFmt w:val="bullet"/>
      <w:lvlText w:val="•"/>
      <w:lvlJc w:val="left"/>
      <w:pPr>
        <w:ind w:left="2100" w:hanging="360"/>
      </w:pPr>
      <w:rPr>
        <w:rFonts w:hint="default"/>
        <w:lang w:val="es-ES" w:eastAsia="en-US" w:bidi="ar-SA"/>
      </w:rPr>
    </w:lvl>
    <w:lvl w:ilvl="2" w:tplc="07140996">
      <w:numFmt w:val="bullet"/>
      <w:lvlText w:val="•"/>
      <w:lvlJc w:val="left"/>
      <w:pPr>
        <w:ind w:left="2961" w:hanging="360"/>
      </w:pPr>
      <w:rPr>
        <w:rFonts w:hint="default"/>
        <w:lang w:val="es-ES" w:eastAsia="en-US" w:bidi="ar-SA"/>
      </w:rPr>
    </w:lvl>
    <w:lvl w:ilvl="3" w:tplc="14BE1A2C">
      <w:numFmt w:val="bullet"/>
      <w:lvlText w:val="•"/>
      <w:lvlJc w:val="left"/>
      <w:pPr>
        <w:ind w:left="3821" w:hanging="360"/>
      </w:pPr>
      <w:rPr>
        <w:rFonts w:hint="default"/>
        <w:lang w:val="es-ES" w:eastAsia="en-US" w:bidi="ar-SA"/>
      </w:rPr>
    </w:lvl>
    <w:lvl w:ilvl="4" w:tplc="8848A8A2">
      <w:numFmt w:val="bullet"/>
      <w:lvlText w:val="•"/>
      <w:lvlJc w:val="left"/>
      <w:pPr>
        <w:ind w:left="4682" w:hanging="360"/>
      </w:pPr>
      <w:rPr>
        <w:rFonts w:hint="default"/>
        <w:lang w:val="es-ES" w:eastAsia="en-US" w:bidi="ar-SA"/>
      </w:rPr>
    </w:lvl>
    <w:lvl w:ilvl="5" w:tplc="BDDE841C">
      <w:numFmt w:val="bullet"/>
      <w:lvlText w:val="•"/>
      <w:lvlJc w:val="left"/>
      <w:pPr>
        <w:ind w:left="5543" w:hanging="360"/>
      </w:pPr>
      <w:rPr>
        <w:rFonts w:hint="default"/>
        <w:lang w:val="es-ES" w:eastAsia="en-US" w:bidi="ar-SA"/>
      </w:rPr>
    </w:lvl>
    <w:lvl w:ilvl="6" w:tplc="9B20826A">
      <w:numFmt w:val="bullet"/>
      <w:lvlText w:val="•"/>
      <w:lvlJc w:val="left"/>
      <w:pPr>
        <w:ind w:left="6403" w:hanging="360"/>
      </w:pPr>
      <w:rPr>
        <w:rFonts w:hint="default"/>
        <w:lang w:val="es-ES" w:eastAsia="en-US" w:bidi="ar-SA"/>
      </w:rPr>
    </w:lvl>
    <w:lvl w:ilvl="7" w:tplc="94CAAC54">
      <w:numFmt w:val="bullet"/>
      <w:lvlText w:val="•"/>
      <w:lvlJc w:val="left"/>
      <w:pPr>
        <w:ind w:left="7264" w:hanging="360"/>
      </w:pPr>
      <w:rPr>
        <w:rFonts w:hint="default"/>
        <w:lang w:val="es-ES" w:eastAsia="en-US" w:bidi="ar-SA"/>
      </w:rPr>
    </w:lvl>
    <w:lvl w:ilvl="8" w:tplc="95F2CF4C">
      <w:numFmt w:val="bullet"/>
      <w:lvlText w:val="•"/>
      <w:lvlJc w:val="left"/>
      <w:pPr>
        <w:ind w:left="8125" w:hanging="360"/>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72A"/>
    <w:rsid w:val="000102A5"/>
    <w:rsid w:val="000806B7"/>
    <w:rsid w:val="00094025"/>
    <w:rsid w:val="000D27F2"/>
    <w:rsid w:val="000D73B2"/>
    <w:rsid w:val="000F072A"/>
    <w:rsid w:val="00134758"/>
    <w:rsid w:val="001A105B"/>
    <w:rsid w:val="001A7A4B"/>
    <w:rsid w:val="001B05CB"/>
    <w:rsid w:val="002617CD"/>
    <w:rsid w:val="002D0A8A"/>
    <w:rsid w:val="00304F66"/>
    <w:rsid w:val="00321F4B"/>
    <w:rsid w:val="00346797"/>
    <w:rsid w:val="00367AD3"/>
    <w:rsid w:val="003D2C26"/>
    <w:rsid w:val="003F656F"/>
    <w:rsid w:val="00432320"/>
    <w:rsid w:val="004E157E"/>
    <w:rsid w:val="00552227"/>
    <w:rsid w:val="00563F61"/>
    <w:rsid w:val="00585F1F"/>
    <w:rsid w:val="00586BA0"/>
    <w:rsid w:val="005B2228"/>
    <w:rsid w:val="005C523B"/>
    <w:rsid w:val="00653FBC"/>
    <w:rsid w:val="00665949"/>
    <w:rsid w:val="0067345E"/>
    <w:rsid w:val="00686EBE"/>
    <w:rsid w:val="006D3D96"/>
    <w:rsid w:val="00751D7E"/>
    <w:rsid w:val="007E2814"/>
    <w:rsid w:val="00820F4C"/>
    <w:rsid w:val="00896C78"/>
    <w:rsid w:val="008A4B2B"/>
    <w:rsid w:val="008C0B6D"/>
    <w:rsid w:val="009A35AF"/>
    <w:rsid w:val="009E5420"/>
    <w:rsid w:val="00A30B7A"/>
    <w:rsid w:val="00A5486C"/>
    <w:rsid w:val="00B076A1"/>
    <w:rsid w:val="00B55EF2"/>
    <w:rsid w:val="00BF2C8C"/>
    <w:rsid w:val="00C77C96"/>
    <w:rsid w:val="00C96BA3"/>
    <w:rsid w:val="00D6440E"/>
    <w:rsid w:val="00E14324"/>
    <w:rsid w:val="00E501F6"/>
    <w:rsid w:val="00F46E37"/>
    <w:rsid w:val="00F54776"/>
    <w:rsid w:val="00FB2806"/>
    <w:rsid w:val="00FC150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535269"/>
  <w15:docId w15:val="{ED33ABAB-AF65-4CD5-822F-C771ED647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eX Gyre Bonum" w:eastAsia="TeX Gyre Bonum" w:hAnsi="TeX Gyre Bonum" w:cs="TeX Gyre Bonum"/>
      <w:lang w:val="es-ES"/>
    </w:rPr>
  </w:style>
  <w:style w:type="paragraph" w:styleId="Ttulo1">
    <w:name w:val="heading 1"/>
    <w:basedOn w:val="Normal"/>
    <w:uiPriority w:val="1"/>
    <w:qFormat/>
    <w:pPr>
      <w:ind w:left="102"/>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 w:firstLine="707"/>
      <w:jc w:val="both"/>
    </w:pPr>
    <w:rPr>
      <w:sz w:val="24"/>
      <w:szCs w:val="24"/>
    </w:rPr>
  </w:style>
  <w:style w:type="paragraph" w:styleId="Prrafodelista">
    <w:name w:val="List Paragraph"/>
    <w:basedOn w:val="Normal"/>
    <w:uiPriority w:val="1"/>
    <w:qFormat/>
    <w:pPr>
      <w:ind w:left="1244" w:right="102" w:hanging="360"/>
      <w:jc w:val="both"/>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5B2228"/>
    <w:rPr>
      <w:rFonts w:ascii="Tahoma" w:hAnsi="Tahoma" w:cs="Tahoma"/>
      <w:sz w:val="16"/>
      <w:szCs w:val="16"/>
    </w:rPr>
  </w:style>
  <w:style w:type="character" w:customStyle="1" w:styleId="TextodegloboCar">
    <w:name w:val="Texto de globo Car"/>
    <w:basedOn w:val="Fuentedeprrafopredeter"/>
    <w:link w:val="Textodeglobo"/>
    <w:uiPriority w:val="99"/>
    <w:semiHidden/>
    <w:rsid w:val="005B2228"/>
    <w:rPr>
      <w:rFonts w:ascii="Tahoma" w:eastAsia="TeX Gyre Bonum" w:hAnsi="Tahoma" w:cs="Tahoma"/>
      <w:sz w:val="16"/>
      <w:szCs w:val="16"/>
      <w:lang w:val="es-ES"/>
    </w:rPr>
  </w:style>
  <w:style w:type="paragraph" w:styleId="Encabezado">
    <w:name w:val="header"/>
    <w:basedOn w:val="Normal"/>
    <w:link w:val="EncabezadoCar"/>
    <w:uiPriority w:val="99"/>
    <w:unhideWhenUsed/>
    <w:rsid w:val="005B2228"/>
    <w:pPr>
      <w:tabs>
        <w:tab w:val="center" w:pos="4252"/>
        <w:tab w:val="right" w:pos="8504"/>
      </w:tabs>
    </w:pPr>
  </w:style>
  <w:style w:type="character" w:customStyle="1" w:styleId="EncabezadoCar">
    <w:name w:val="Encabezado Car"/>
    <w:basedOn w:val="Fuentedeprrafopredeter"/>
    <w:link w:val="Encabezado"/>
    <w:uiPriority w:val="99"/>
    <w:rsid w:val="005B2228"/>
    <w:rPr>
      <w:rFonts w:ascii="TeX Gyre Bonum" w:eastAsia="TeX Gyre Bonum" w:hAnsi="TeX Gyre Bonum" w:cs="TeX Gyre Bonum"/>
      <w:lang w:val="es-ES"/>
    </w:rPr>
  </w:style>
  <w:style w:type="paragraph" w:styleId="Piedepgina">
    <w:name w:val="footer"/>
    <w:basedOn w:val="Normal"/>
    <w:link w:val="PiedepginaCar"/>
    <w:uiPriority w:val="99"/>
    <w:unhideWhenUsed/>
    <w:rsid w:val="005B2228"/>
    <w:pPr>
      <w:tabs>
        <w:tab w:val="center" w:pos="4252"/>
        <w:tab w:val="right" w:pos="8504"/>
      </w:tabs>
    </w:pPr>
  </w:style>
  <w:style w:type="character" w:customStyle="1" w:styleId="PiedepginaCar">
    <w:name w:val="Pie de página Car"/>
    <w:basedOn w:val="Fuentedeprrafopredeter"/>
    <w:link w:val="Piedepgina"/>
    <w:uiPriority w:val="99"/>
    <w:rsid w:val="005B2228"/>
    <w:rPr>
      <w:rFonts w:ascii="TeX Gyre Bonum" w:eastAsia="TeX Gyre Bonum" w:hAnsi="TeX Gyre Bonum" w:cs="TeX Gyre Bonum"/>
      <w:lang w:val="es-ES"/>
    </w:rPr>
  </w:style>
  <w:style w:type="character" w:styleId="Refdecomentario">
    <w:name w:val="annotation reference"/>
    <w:basedOn w:val="Fuentedeprrafopredeter"/>
    <w:uiPriority w:val="99"/>
    <w:semiHidden/>
    <w:unhideWhenUsed/>
    <w:rsid w:val="000D27F2"/>
    <w:rPr>
      <w:sz w:val="16"/>
      <w:szCs w:val="16"/>
    </w:rPr>
  </w:style>
  <w:style w:type="paragraph" w:styleId="Textocomentario">
    <w:name w:val="annotation text"/>
    <w:basedOn w:val="Normal"/>
    <w:link w:val="TextocomentarioCar"/>
    <w:uiPriority w:val="99"/>
    <w:semiHidden/>
    <w:unhideWhenUsed/>
    <w:rsid w:val="000D27F2"/>
    <w:rPr>
      <w:sz w:val="20"/>
      <w:szCs w:val="20"/>
    </w:rPr>
  </w:style>
  <w:style w:type="character" w:customStyle="1" w:styleId="TextocomentarioCar">
    <w:name w:val="Texto comentario Car"/>
    <w:basedOn w:val="Fuentedeprrafopredeter"/>
    <w:link w:val="Textocomentario"/>
    <w:uiPriority w:val="99"/>
    <w:semiHidden/>
    <w:rsid w:val="000D27F2"/>
    <w:rPr>
      <w:rFonts w:ascii="TeX Gyre Bonum" w:eastAsia="TeX Gyre Bonum" w:hAnsi="TeX Gyre Bonum" w:cs="TeX Gyre Bonum"/>
      <w:sz w:val="20"/>
      <w:szCs w:val="20"/>
      <w:lang w:val="es-ES"/>
    </w:rPr>
  </w:style>
  <w:style w:type="paragraph" w:styleId="Asuntodelcomentario">
    <w:name w:val="annotation subject"/>
    <w:basedOn w:val="Textocomentario"/>
    <w:next w:val="Textocomentario"/>
    <w:link w:val="AsuntodelcomentarioCar"/>
    <w:uiPriority w:val="99"/>
    <w:semiHidden/>
    <w:unhideWhenUsed/>
    <w:rsid w:val="000D27F2"/>
    <w:rPr>
      <w:b/>
      <w:bCs/>
    </w:rPr>
  </w:style>
  <w:style w:type="character" w:customStyle="1" w:styleId="AsuntodelcomentarioCar">
    <w:name w:val="Asunto del comentario Car"/>
    <w:basedOn w:val="TextocomentarioCar"/>
    <w:link w:val="Asuntodelcomentario"/>
    <w:uiPriority w:val="99"/>
    <w:semiHidden/>
    <w:rsid w:val="000D27F2"/>
    <w:rPr>
      <w:rFonts w:ascii="TeX Gyre Bonum" w:eastAsia="TeX Gyre Bonum" w:hAnsi="TeX Gyre Bonum" w:cs="TeX Gyre Bonum"/>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5014071">
      <w:bodyDiv w:val="1"/>
      <w:marLeft w:val="0"/>
      <w:marRight w:val="0"/>
      <w:marTop w:val="0"/>
      <w:marBottom w:val="0"/>
      <w:divBdr>
        <w:top w:val="none" w:sz="0" w:space="0" w:color="auto"/>
        <w:left w:val="none" w:sz="0" w:space="0" w:color="auto"/>
        <w:bottom w:val="none" w:sz="0" w:space="0" w:color="auto"/>
        <w:right w:val="none" w:sz="0" w:space="0" w:color="auto"/>
      </w:divBdr>
    </w:div>
    <w:div w:id="1687831354">
      <w:bodyDiv w:val="1"/>
      <w:marLeft w:val="0"/>
      <w:marRight w:val="0"/>
      <w:marTop w:val="0"/>
      <w:marBottom w:val="0"/>
      <w:divBdr>
        <w:top w:val="none" w:sz="0" w:space="0" w:color="auto"/>
        <w:left w:val="none" w:sz="0" w:space="0" w:color="auto"/>
        <w:bottom w:val="none" w:sz="0" w:space="0" w:color="auto"/>
        <w:right w:val="none" w:sz="0" w:space="0" w:color="auto"/>
      </w:divBdr>
    </w:div>
    <w:div w:id="2042246606">
      <w:bodyDiv w:val="1"/>
      <w:marLeft w:val="0"/>
      <w:marRight w:val="0"/>
      <w:marTop w:val="0"/>
      <w:marBottom w:val="0"/>
      <w:divBdr>
        <w:top w:val="none" w:sz="0" w:space="0" w:color="auto"/>
        <w:left w:val="none" w:sz="0" w:space="0" w:color="auto"/>
        <w:bottom w:val="none" w:sz="0" w:space="0" w:color="auto"/>
        <w:right w:val="none" w:sz="0" w:space="0" w:color="auto"/>
      </w:divBdr>
    </w:div>
    <w:div w:id="2120906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maradey@mailsenadoer.gob.a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7C264-3395-43F1-959E-D126A4838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1087</Words>
  <Characters>5979</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Romina Nicola</cp:lastModifiedBy>
  <cp:revision>2</cp:revision>
  <cp:lastPrinted>2020-08-21T13:45:00Z</cp:lastPrinted>
  <dcterms:created xsi:type="dcterms:W3CDTF">2020-08-25T20:22:00Z</dcterms:created>
  <dcterms:modified xsi:type="dcterms:W3CDTF">2020-08-25T20:22:00Z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2020-06-17T00:00:00Z</vt:filetime>
  </property>
  <property fmtid="{D5CDD505-2E9C-101B-9397-08002B2CF9AE}" pid="3" name="Creator">
    <vt:lpwstr>Microsoft® Word 2010</vt:lpwstr>
  </property>
  <property fmtid="{D5CDD505-2E9C-101B-9397-08002B2CF9AE}" pid="4" name="LastSaved">
    <vt:filetime>2020-06-23T00:00:00Z</vt:filetime>
  </property>
</Properties>
</file>