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137D1" w14:textId="3E478E6E" w:rsidR="00653FBC" w:rsidRPr="00C77C96" w:rsidRDefault="002617CD" w:rsidP="00A30B7A">
      <w:pPr>
        <w:spacing w:line="276" w:lineRule="auto"/>
        <w:jc w:val="center"/>
        <w:rPr>
          <w:rFonts w:asciiTheme="minorHAnsi" w:hAnsiTheme="minorHAnsi" w:cs="Arial"/>
          <w:sz w:val="24"/>
          <w:szCs w:val="24"/>
          <w:u w:val="single"/>
        </w:rPr>
      </w:pPr>
      <w:r w:rsidRPr="00C77C96">
        <w:rPr>
          <w:rFonts w:asciiTheme="minorHAnsi" w:eastAsia="Arial Unicode MS" w:hAnsiTheme="minorHAnsi" w:cstheme="minorHAnsi"/>
          <w:b/>
          <w:bCs/>
          <w:sz w:val="24"/>
          <w:szCs w:val="24"/>
          <w:u w:val="single"/>
          <w:lang w:eastAsia="es-ES"/>
        </w:rPr>
        <w:br/>
      </w:r>
      <w:r w:rsidR="00A30B7A" w:rsidRPr="00C77C96">
        <w:rPr>
          <w:rFonts w:asciiTheme="minorHAnsi" w:hAnsiTheme="minorHAnsi" w:cs="Arial"/>
          <w:sz w:val="24"/>
          <w:szCs w:val="24"/>
          <w:u w:val="single"/>
        </w:rPr>
        <w:t>Proyecto de Ley</w:t>
      </w:r>
    </w:p>
    <w:p w14:paraId="70823707" w14:textId="77777777" w:rsidR="002D0A8A" w:rsidRPr="00C77C96" w:rsidRDefault="002D0A8A" w:rsidP="00653FBC">
      <w:pPr>
        <w:spacing w:line="276" w:lineRule="auto"/>
        <w:jc w:val="both"/>
        <w:rPr>
          <w:rFonts w:asciiTheme="minorHAnsi" w:hAnsiTheme="minorHAnsi" w:cs="Arial"/>
          <w:sz w:val="24"/>
          <w:szCs w:val="24"/>
          <w:lang w:val="es-ES_tradnl"/>
        </w:rPr>
      </w:pPr>
    </w:p>
    <w:p w14:paraId="7C88082F" w14:textId="77777777" w:rsidR="00653FBC" w:rsidRPr="00C77C96" w:rsidRDefault="00653FBC" w:rsidP="00A30B7A">
      <w:pPr>
        <w:spacing w:line="276" w:lineRule="auto"/>
        <w:jc w:val="center"/>
        <w:rPr>
          <w:rFonts w:asciiTheme="minorHAnsi" w:hAnsiTheme="minorHAnsi" w:cs="Arial"/>
          <w:sz w:val="24"/>
          <w:szCs w:val="24"/>
        </w:rPr>
      </w:pPr>
      <w:r w:rsidRPr="00C77C96">
        <w:rPr>
          <w:rFonts w:asciiTheme="minorHAnsi" w:hAnsiTheme="minorHAnsi" w:cs="Arial"/>
          <w:sz w:val="24"/>
          <w:szCs w:val="24"/>
          <w:lang w:val="es-ES_tradnl"/>
        </w:rPr>
        <w:t>LA LEGISLATURA DE LA PROVINCIA DE ENTRE RÍOS</w:t>
      </w:r>
    </w:p>
    <w:p w14:paraId="4E85F5D6" w14:textId="77777777" w:rsidR="002D0A8A" w:rsidRPr="00C77C96" w:rsidRDefault="002D0A8A" w:rsidP="00A30B7A">
      <w:pPr>
        <w:spacing w:line="276" w:lineRule="auto"/>
        <w:jc w:val="center"/>
        <w:rPr>
          <w:rFonts w:asciiTheme="minorHAnsi" w:hAnsiTheme="minorHAnsi" w:cs="Arial"/>
          <w:sz w:val="24"/>
          <w:szCs w:val="24"/>
          <w:lang w:val="es-ES_tradnl"/>
        </w:rPr>
      </w:pPr>
    </w:p>
    <w:p w14:paraId="161F8EE8" w14:textId="55304F16" w:rsidR="00653FBC" w:rsidRPr="00C77C96" w:rsidRDefault="00653FBC" w:rsidP="00A30B7A">
      <w:pPr>
        <w:spacing w:line="276" w:lineRule="auto"/>
        <w:jc w:val="center"/>
        <w:rPr>
          <w:rFonts w:asciiTheme="minorHAnsi" w:hAnsiTheme="minorHAnsi" w:cs="Arial"/>
          <w:sz w:val="24"/>
          <w:szCs w:val="24"/>
        </w:rPr>
      </w:pPr>
      <w:r w:rsidRPr="00C77C96">
        <w:rPr>
          <w:rFonts w:asciiTheme="minorHAnsi" w:hAnsiTheme="minorHAnsi" w:cs="Arial"/>
          <w:sz w:val="24"/>
          <w:szCs w:val="24"/>
          <w:lang w:val="es-ES_tradnl"/>
        </w:rPr>
        <w:t>SANCIONA CON FUERZA DE LEY</w:t>
      </w:r>
    </w:p>
    <w:p w14:paraId="53BA1E04" w14:textId="77777777" w:rsidR="00653FBC" w:rsidRPr="00C77C96" w:rsidRDefault="00653FBC" w:rsidP="00653FBC">
      <w:pPr>
        <w:spacing w:line="276" w:lineRule="auto"/>
        <w:jc w:val="both"/>
        <w:rPr>
          <w:rFonts w:asciiTheme="minorHAnsi" w:hAnsiTheme="minorHAnsi" w:cs="Arial"/>
          <w:sz w:val="24"/>
          <w:szCs w:val="24"/>
          <w:lang w:val="es-ES_tradnl"/>
        </w:rPr>
      </w:pPr>
    </w:p>
    <w:p w14:paraId="261E6116" w14:textId="7A31E273" w:rsidR="00653FBC" w:rsidRPr="00C77C96" w:rsidRDefault="00A30B7A" w:rsidP="00653FBC">
      <w:pPr>
        <w:spacing w:line="276" w:lineRule="auto"/>
        <w:jc w:val="both"/>
        <w:rPr>
          <w:rFonts w:asciiTheme="minorHAnsi" w:hAnsiTheme="minorHAnsi" w:cs="Arial"/>
          <w:sz w:val="24"/>
          <w:szCs w:val="24"/>
          <w:lang w:val="es-ES_tradnl"/>
        </w:rPr>
      </w:pPr>
      <w:r w:rsidRPr="00C77C96">
        <w:rPr>
          <w:rFonts w:asciiTheme="minorHAnsi" w:hAnsiTheme="minorHAnsi" w:cs="Arial"/>
          <w:b/>
          <w:sz w:val="24"/>
          <w:szCs w:val="24"/>
          <w:lang w:val="es-ES_tradnl"/>
        </w:rPr>
        <w:t>PRIMERO.</w:t>
      </w:r>
      <w:r w:rsidR="00653FBC" w:rsidRPr="00C77C96">
        <w:rPr>
          <w:rFonts w:asciiTheme="minorHAnsi" w:hAnsiTheme="minorHAnsi" w:cs="Arial"/>
          <w:sz w:val="24"/>
          <w:szCs w:val="24"/>
          <w:lang w:val="es-ES_tradnl"/>
        </w:rPr>
        <w:t xml:space="preserve"> Adhiérase la Provincia de Entre Ríos a la Ley Nacional Nro. 27.553, de teleasistencia y recetas electrónicas o digitales.</w:t>
      </w:r>
    </w:p>
    <w:p w14:paraId="3956DD2E" w14:textId="77777777" w:rsidR="00653FBC" w:rsidRPr="00C77C96" w:rsidRDefault="00653FBC" w:rsidP="00653FBC">
      <w:pPr>
        <w:spacing w:line="276" w:lineRule="auto"/>
        <w:jc w:val="both"/>
        <w:rPr>
          <w:rFonts w:asciiTheme="minorHAnsi" w:hAnsiTheme="minorHAnsi" w:cs="Arial"/>
          <w:sz w:val="24"/>
          <w:szCs w:val="24"/>
          <w:lang w:val="es-ES_tradnl"/>
        </w:rPr>
      </w:pPr>
    </w:p>
    <w:p w14:paraId="767F5677" w14:textId="648A5749" w:rsidR="00653FBC" w:rsidRPr="00C77C96" w:rsidRDefault="00A30B7A" w:rsidP="00653FBC">
      <w:pPr>
        <w:spacing w:line="276" w:lineRule="auto"/>
        <w:jc w:val="both"/>
        <w:rPr>
          <w:rFonts w:asciiTheme="minorHAnsi" w:hAnsiTheme="minorHAnsi" w:cs="Arial"/>
          <w:color w:val="FF0000"/>
          <w:sz w:val="24"/>
          <w:szCs w:val="24"/>
          <w:lang w:val="es-ES_tradnl"/>
        </w:rPr>
      </w:pPr>
      <w:r w:rsidRPr="00C77C96">
        <w:rPr>
          <w:rFonts w:asciiTheme="minorHAnsi" w:hAnsiTheme="minorHAnsi" w:cs="Arial"/>
          <w:b/>
          <w:sz w:val="24"/>
          <w:szCs w:val="24"/>
          <w:lang w:val="es-ES_tradnl"/>
        </w:rPr>
        <w:t>SEGUNDO</w:t>
      </w:r>
      <w:r w:rsidR="00653FBC" w:rsidRPr="00C77C96">
        <w:rPr>
          <w:rFonts w:asciiTheme="minorHAnsi" w:hAnsiTheme="minorHAnsi" w:cs="Arial"/>
          <w:b/>
          <w:sz w:val="24"/>
          <w:szCs w:val="24"/>
          <w:lang w:val="es-ES_tradnl"/>
        </w:rPr>
        <w:t>.</w:t>
      </w:r>
      <w:r w:rsidR="00653FBC" w:rsidRPr="00C77C96">
        <w:rPr>
          <w:rFonts w:asciiTheme="minorHAnsi" w:hAnsiTheme="minorHAnsi" w:cs="Arial"/>
          <w:sz w:val="24"/>
          <w:szCs w:val="24"/>
          <w:lang w:val="es-ES_tradnl"/>
        </w:rPr>
        <w:t xml:space="preserve"> Desígnese como Autoridad de Aplicación al Ministerio de Salud de la Provincia de Entre Ríos o al órgano que </w:t>
      </w:r>
      <w:r w:rsidRPr="00C77C96">
        <w:rPr>
          <w:rFonts w:asciiTheme="minorHAnsi" w:hAnsiTheme="minorHAnsi" w:cs="Arial"/>
          <w:sz w:val="24"/>
          <w:szCs w:val="24"/>
          <w:lang w:val="es-ES_tradnl"/>
        </w:rPr>
        <w:t xml:space="preserve">en </w:t>
      </w:r>
      <w:r w:rsidR="00653FBC" w:rsidRPr="00C77C96">
        <w:rPr>
          <w:rFonts w:asciiTheme="minorHAnsi" w:hAnsiTheme="minorHAnsi" w:cs="Arial"/>
          <w:sz w:val="24"/>
          <w:szCs w:val="24"/>
          <w:lang w:val="es-ES_tradnl"/>
        </w:rPr>
        <w:t>el futuro lo reemplace</w:t>
      </w:r>
      <w:r w:rsidRPr="00C77C96">
        <w:rPr>
          <w:rFonts w:asciiTheme="minorHAnsi" w:hAnsiTheme="minorHAnsi" w:cs="Arial"/>
          <w:sz w:val="24"/>
          <w:szCs w:val="24"/>
          <w:lang w:val="es-ES_tradnl"/>
        </w:rPr>
        <w:t>.</w:t>
      </w:r>
    </w:p>
    <w:p w14:paraId="16F046C6" w14:textId="77777777" w:rsidR="00653FBC" w:rsidRPr="00C77C96" w:rsidRDefault="00653FBC" w:rsidP="00653FBC">
      <w:pPr>
        <w:spacing w:line="276" w:lineRule="auto"/>
        <w:jc w:val="both"/>
        <w:rPr>
          <w:rFonts w:asciiTheme="minorHAnsi" w:hAnsiTheme="minorHAnsi" w:cs="Arial"/>
          <w:sz w:val="24"/>
          <w:szCs w:val="24"/>
          <w:lang w:val="es-ES_tradnl"/>
        </w:rPr>
      </w:pPr>
    </w:p>
    <w:p w14:paraId="0E250C65" w14:textId="15331A72" w:rsidR="00653FBC" w:rsidRPr="00C77C96" w:rsidRDefault="00A30B7A" w:rsidP="00653FBC">
      <w:pPr>
        <w:spacing w:line="276" w:lineRule="auto"/>
        <w:jc w:val="both"/>
        <w:rPr>
          <w:rFonts w:asciiTheme="minorHAnsi" w:hAnsiTheme="minorHAnsi" w:cs="Arial"/>
          <w:sz w:val="24"/>
          <w:szCs w:val="24"/>
          <w:lang w:val="es-ES_tradnl"/>
        </w:rPr>
      </w:pPr>
      <w:r w:rsidRPr="00C77C96">
        <w:rPr>
          <w:rFonts w:asciiTheme="minorHAnsi" w:hAnsiTheme="minorHAnsi" w:cs="Arial"/>
          <w:b/>
          <w:sz w:val="24"/>
          <w:szCs w:val="24"/>
          <w:lang w:val="es-ES_tradnl"/>
        </w:rPr>
        <w:t>TERCERO.</w:t>
      </w:r>
      <w:r w:rsidR="00653FBC" w:rsidRPr="00C77C96">
        <w:rPr>
          <w:rFonts w:asciiTheme="minorHAnsi" w:hAnsiTheme="minorHAnsi" w:cs="Arial"/>
          <w:sz w:val="24"/>
          <w:szCs w:val="24"/>
          <w:lang w:val="es-ES_tradnl"/>
        </w:rPr>
        <w:t xml:space="preserve"> La Autoridad de Aplicación arbitrará los mecanismos necesarios para la implementación de la teleasistencia y las recetas electrónicas o digitales en todo el territorio provincial.</w:t>
      </w:r>
    </w:p>
    <w:p w14:paraId="71989A8E" w14:textId="77777777" w:rsidR="00A30B7A" w:rsidRPr="00C77C96" w:rsidRDefault="00A30B7A" w:rsidP="00653FBC">
      <w:pPr>
        <w:spacing w:line="276" w:lineRule="auto"/>
        <w:jc w:val="both"/>
        <w:rPr>
          <w:rFonts w:asciiTheme="minorHAnsi" w:hAnsiTheme="minorHAnsi" w:cs="Arial"/>
          <w:sz w:val="24"/>
          <w:szCs w:val="24"/>
          <w:lang w:val="es-ES_tradnl"/>
        </w:rPr>
      </w:pPr>
    </w:p>
    <w:p w14:paraId="066E1BE5" w14:textId="726BB93B" w:rsidR="00A30B7A" w:rsidRPr="00C77C96" w:rsidRDefault="00A30B7A" w:rsidP="00653FBC">
      <w:pPr>
        <w:spacing w:line="276" w:lineRule="auto"/>
        <w:jc w:val="both"/>
        <w:rPr>
          <w:rFonts w:asciiTheme="minorHAnsi" w:hAnsiTheme="minorHAnsi" w:cs="Arial"/>
          <w:sz w:val="24"/>
          <w:szCs w:val="24"/>
        </w:rPr>
      </w:pPr>
      <w:r w:rsidRPr="00C77C96">
        <w:rPr>
          <w:rFonts w:asciiTheme="minorHAnsi" w:hAnsiTheme="minorHAnsi" w:cs="Arial"/>
          <w:b/>
          <w:sz w:val="24"/>
          <w:szCs w:val="24"/>
          <w:lang w:val="es-ES_tradnl"/>
        </w:rPr>
        <w:t>CUARTO</w:t>
      </w:r>
      <w:r w:rsidRPr="00C77C96">
        <w:rPr>
          <w:rFonts w:asciiTheme="minorHAnsi" w:hAnsiTheme="minorHAnsi" w:cs="Arial"/>
          <w:sz w:val="24"/>
          <w:szCs w:val="24"/>
          <w:lang w:val="es-ES_tradnl"/>
        </w:rPr>
        <w:t>. Comuníquese.</w:t>
      </w:r>
    </w:p>
    <w:p w14:paraId="3E59273A" w14:textId="77777777" w:rsidR="00653FBC" w:rsidRPr="00C77C96" w:rsidRDefault="00653FBC" w:rsidP="00653FBC">
      <w:pPr>
        <w:spacing w:line="276" w:lineRule="auto"/>
        <w:jc w:val="both"/>
        <w:rPr>
          <w:rFonts w:asciiTheme="minorHAnsi" w:hAnsiTheme="minorHAnsi" w:cs="Arial"/>
          <w:sz w:val="24"/>
          <w:szCs w:val="24"/>
        </w:rPr>
      </w:pPr>
    </w:p>
    <w:p w14:paraId="7D42C02C" w14:textId="77777777" w:rsidR="00653FBC" w:rsidRPr="00C77C96" w:rsidRDefault="00653FBC" w:rsidP="00653FBC">
      <w:pPr>
        <w:spacing w:line="276" w:lineRule="auto"/>
        <w:jc w:val="both"/>
        <w:rPr>
          <w:rFonts w:asciiTheme="minorHAnsi" w:hAnsiTheme="minorHAnsi" w:cs="Arial"/>
          <w:sz w:val="24"/>
          <w:szCs w:val="24"/>
        </w:rPr>
      </w:pPr>
    </w:p>
    <w:p w14:paraId="04D34B9A" w14:textId="77777777" w:rsidR="00653FBC" w:rsidRPr="00C77C96" w:rsidRDefault="00653FBC" w:rsidP="00653FBC">
      <w:pPr>
        <w:spacing w:line="276" w:lineRule="auto"/>
        <w:jc w:val="both"/>
        <w:rPr>
          <w:rFonts w:asciiTheme="minorHAnsi" w:hAnsiTheme="minorHAnsi" w:cs="Arial"/>
          <w:sz w:val="24"/>
          <w:szCs w:val="24"/>
        </w:rPr>
      </w:pPr>
    </w:p>
    <w:p w14:paraId="390810E9" w14:textId="77777777" w:rsidR="00653FBC" w:rsidRPr="00C77C96" w:rsidRDefault="00653FBC" w:rsidP="00653FBC">
      <w:pPr>
        <w:spacing w:line="276" w:lineRule="auto"/>
        <w:jc w:val="both"/>
        <w:rPr>
          <w:rFonts w:asciiTheme="minorHAnsi" w:hAnsiTheme="minorHAnsi" w:cs="Arial"/>
          <w:sz w:val="24"/>
          <w:szCs w:val="24"/>
        </w:rPr>
      </w:pPr>
    </w:p>
    <w:p w14:paraId="057D9CCE" w14:textId="77777777" w:rsidR="00653FBC" w:rsidRPr="00C77C96" w:rsidRDefault="00653FBC" w:rsidP="00653FBC">
      <w:pPr>
        <w:spacing w:line="276" w:lineRule="auto"/>
        <w:jc w:val="both"/>
        <w:rPr>
          <w:rFonts w:asciiTheme="minorHAnsi" w:hAnsiTheme="minorHAnsi" w:cs="Arial"/>
          <w:sz w:val="24"/>
          <w:szCs w:val="24"/>
          <w:u w:val="single"/>
        </w:rPr>
      </w:pPr>
    </w:p>
    <w:p w14:paraId="3EF53C5D" w14:textId="77777777" w:rsidR="00653FBC" w:rsidRPr="00C77C96" w:rsidRDefault="00653FBC" w:rsidP="00653FBC">
      <w:pPr>
        <w:spacing w:line="276" w:lineRule="auto"/>
        <w:jc w:val="both"/>
        <w:rPr>
          <w:rFonts w:asciiTheme="minorHAnsi" w:hAnsiTheme="minorHAnsi" w:cs="Arial"/>
          <w:sz w:val="24"/>
          <w:szCs w:val="24"/>
          <w:u w:val="single"/>
        </w:rPr>
      </w:pPr>
    </w:p>
    <w:p w14:paraId="61199818" w14:textId="77777777" w:rsidR="00653FBC" w:rsidRPr="00C77C96" w:rsidRDefault="00653FBC" w:rsidP="00653FBC">
      <w:pPr>
        <w:spacing w:line="276" w:lineRule="auto"/>
        <w:jc w:val="both"/>
        <w:rPr>
          <w:rFonts w:asciiTheme="minorHAnsi" w:hAnsiTheme="minorHAnsi" w:cs="Arial"/>
          <w:sz w:val="24"/>
          <w:szCs w:val="24"/>
          <w:u w:val="single"/>
        </w:rPr>
      </w:pPr>
    </w:p>
    <w:p w14:paraId="2DECC888" w14:textId="77777777" w:rsidR="00653FBC" w:rsidRPr="00C77C96" w:rsidRDefault="00653FBC" w:rsidP="00653FBC">
      <w:pPr>
        <w:spacing w:line="276" w:lineRule="auto"/>
        <w:jc w:val="both"/>
        <w:rPr>
          <w:rFonts w:asciiTheme="minorHAnsi" w:hAnsiTheme="minorHAnsi" w:cs="Arial"/>
          <w:sz w:val="24"/>
          <w:szCs w:val="24"/>
          <w:u w:val="single"/>
        </w:rPr>
      </w:pPr>
    </w:p>
    <w:p w14:paraId="6FD5CDE3" w14:textId="77777777" w:rsidR="00653FBC" w:rsidRPr="00C77C96" w:rsidRDefault="00653FBC" w:rsidP="00653FBC">
      <w:pPr>
        <w:spacing w:line="276" w:lineRule="auto"/>
        <w:jc w:val="both"/>
        <w:rPr>
          <w:rFonts w:asciiTheme="minorHAnsi" w:hAnsiTheme="minorHAnsi" w:cs="Arial"/>
          <w:sz w:val="24"/>
          <w:szCs w:val="24"/>
          <w:u w:val="single"/>
        </w:rPr>
      </w:pPr>
    </w:p>
    <w:p w14:paraId="78487E6A" w14:textId="77777777" w:rsidR="00653FBC" w:rsidRPr="00C77C96" w:rsidRDefault="00653FBC" w:rsidP="00653FBC">
      <w:pPr>
        <w:spacing w:line="276" w:lineRule="auto"/>
        <w:jc w:val="both"/>
        <w:rPr>
          <w:rFonts w:asciiTheme="minorHAnsi" w:hAnsiTheme="minorHAnsi" w:cs="Arial"/>
          <w:sz w:val="24"/>
          <w:szCs w:val="24"/>
          <w:u w:val="single"/>
        </w:rPr>
      </w:pPr>
    </w:p>
    <w:p w14:paraId="10269994" w14:textId="77777777" w:rsidR="00653FBC" w:rsidRPr="00C77C96" w:rsidRDefault="00653FBC" w:rsidP="00653FBC">
      <w:pPr>
        <w:spacing w:line="276" w:lineRule="auto"/>
        <w:jc w:val="both"/>
        <w:rPr>
          <w:rFonts w:asciiTheme="minorHAnsi" w:hAnsiTheme="minorHAnsi" w:cs="Arial"/>
          <w:sz w:val="24"/>
          <w:szCs w:val="24"/>
          <w:u w:val="single"/>
        </w:rPr>
      </w:pPr>
    </w:p>
    <w:p w14:paraId="33DE79FD" w14:textId="77777777" w:rsidR="00653FBC" w:rsidRPr="00C77C96" w:rsidRDefault="00653FBC" w:rsidP="00653FBC">
      <w:pPr>
        <w:spacing w:line="276" w:lineRule="auto"/>
        <w:jc w:val="both"/>
        <w:rPr>
          <w:rFonts w:asciiTheme="minorHAnsi" w:hAnsiTheme="minorHAnsi" w:cs="Arial"/>
          <w:sz w:val="24"/>
          <w:szCs w:val="24"/>
          <w:u w:val="single"/>
        </w:rPr>
      </w:pPr>
    </w:p>
    <w:p w14:paraId="78FAB3BA" w14:textId="77777777" w:rsidR="00653FBC" w:rsidRPr="00C77C96" w:rsidRDefault="00653FBC" w:rsidP="00653FBC">
      <w:pPr>
        <w:spacing w:line="276" w:lineRule="auto"/>
        <w:jc w:val="both"/>
        <w:rPr>
          <w:rFonts w:asciiTheme="minorHAnsi" w:hAnsiTheme="minorHAnsi" w:cs="Arial"/>
          <w:sz w:val="24"/>
          <w:szCs w:val="24"/>
          <w:u w:val="single"/>
        </w:rPr>
      </w:pPr>
    </w:p>
    <w:p w14:paraId="44CDD816" w14:textId="77777777" w:rsidR="00653FBC" w:rsidRPr="00C77C96" w:rsidRDefault="00653FBC" w:rsidP="00653FBC">
      <w:pPr>
        <w:spacing w:line="276" w:lineRule="auto"/>
        <w:jc w:val="both"/>
        <w:rPr>
          <w:rFonts w:asciiTheme="minorHAnsi" w:hAnsiTheme="minorHAnsi" w:cs="Arial"/>
          <w:sz w:val="24"/>
          <w:szCs w:val="24"/>
          <w:u w:val="single"/>
        </w:rPr>
      </w:pPr>
    </w:p>
    <w:p w14:paraId="27E7A507" w14:textId="77777777" w:rsidR="00653FBC" w:rsidRPr="00C77C96" w:rsidRDefault="00653FBC" w:rsidP="00653FBC">
      <w:pPr>
        <w:spacing w:line="276" w:lineRule="auto"/>
        <w:jc w:val="both"/>
        <w:rPr>
          <w:rFonts w:asciiTheme="minorHAnsi" w:hAnsiTheme="minorHAnsi" w:cs="Arial"/>
          <w:sz w:val="24"/>
          <w:szCs w:val="24"/>
          <w:u w:val="single"/>
        </w:rPr>
      </w:pPr>
    </w:p>
    <w:p w14:paraId="7CB2B9A2" w14:textId="77777777" w:rsidR="00653FBC" w:rsidRPr="00C77C96" w:rsidRDefault="00653FBC" w:rsidP="00653FBC">
      <w:pPr>
        <w:spacing w:line="276" w:lineRule="auto"/>
        <w:jc w:val="both"/>
        <w:rPr>
          <w:rFonts w:asciiTheme="minorHAnsi" w:hAnsiTheme="minorHAnsi" w:cs="Arial"/>
          <w:sz w:val="24"/>
          <w:szCs w:val="24"/>
          <w:u w:val="single"/>
        </w:rPr>
      </w:pPr>
    </w:p>
    <w:p w14:paraId="6F886F9D" w14:textId="77777777" w:rsidR="00653FBC" w:rsidRPr="00C77C96" w:rsidRDefault="00653FBC" w:rsidP="00653FBC">
      <w:pPr>
        <w:spacing w:line="276" w:lineRule="auto"/>
        <w:jc w:val="both"/>
        <w:rPr>
          <w:rFonts w:asciiTheme="minorHAnsi" w:hAnsiTheme="minorHAnsi" w:cs="Arial"/>
          <w:sz w:val="24"/>
          <w:szCs w:val="24"/>
          <w:u w:val="single"/>
        </w:rPr>
      </w:pPr>
    </w:p>
    <w:p w14:paraId="602ECC4D" w14:textId="77777777" w:rsidR="00653FBC" w:rsidRPr="00C77C96" w:rsidRDefault="00653FBC" w:rsidP="00653FBC">
      <w:pPr>
        <w:spacing w:line="276" w:lineRule="auto"/>
        <w:jc w:val="both"/>
        <w:rPr>
          <w:rFonts w:asciiTheme="minorHAnsi" w:hAnsiTheme="minorHAnsi" w:cs="Arial"/>
          <w:sz w:val="24"/>
          <w:szCs w:val="24"/>
          <w:u w:val="single"/>
        </w:rPr>
      </w:pPr>
    </w:p>
    <w:p w14:paraId="7E607FF5" w14:textId="77777777" w:rsidR="00653FBC" w:rsidRPr="00C77C96" w:rsidRDefault="00653FBC" w:rsidP="00653FBC">
      <w:pPr>
        <w:spacing w:line="276" w:lineRule="auto"/>
        <w:jc w:val="both"/>
        <w:rPr>
          <w:rFonts w:asciiTheme="minorHAnsi" w:hAnsiTheme="minorHAnsi" w:cs="Arial"/>
          <w:sz w:val="24"/>
          <w:szCs w:val="24"/>
          <w:u w:val="single"/>
        </w:rPr>
      </w:pPr>
    </w:p>
    <w:p w14:paraId="5719DFF9" w14:textId="77777777" w:rsidR="00653FBC" w:rsidRPr="00C77C96" w:rsidRDefault="00653FBC" w:rsidP="00653FBC">
      <w:pPr>
        <w:spacing w:line="276" w:lineRule="auto"/>
        <w:jc w:val="both"/>
        <w:rPr>
          <w:rFonts w:asciiTheme="minorHAnsi" w:hAnsiTheme="minorHAnsi" w:cs="Arial"/>
          <w:sz w:val="24"/>
          <w:szCs w:val="24"/>
          <w:u w:val="single"/>
        </w:rPr>
      </w:pPr>
    </w:p>
    <w:p w14:paraId="16B24AF8" w14:textId="77777777" w:rsidR="00653FBC" w:rsidRPr="00C77C96" w:rsidRDefault="00653FBC" w:rsidP="00653FBC">
      <w:pPr>
        <w:spacing w:line="276" w:lineRule="auto"/>
        <w:jc w:val="both"/>
        <w:rPr>
          <w:rFonts w:asciiTheme="minorHAnsi" w:hAnsiTheme="minorHAnsi" w:cs="Arial"/>
          <w:sz w:val="24"/>
          <w:szCs w:val="24"/>
          <w:u w:val="single"/>
        </w:rPr>
      </w:pPr>
    </w:p>
    <w:p w14:paraId="50F2DB11" w14:textId="77777777" w:rsidR="00653FBC" w:rsidRPr="00C77C96" w:rsidRDefault="00653FBC" w:rsidP="00653FBC">
      <w:pPr>
        <w:spacing w:line="276" w:lineRule="auto"/>
        <w:jc w:val="both"/>
        <w:rPr>
          <w:rFonts w:asciiTheme="minorHAnsi" w:hAnsiTheme="minorHAnsi" w:cs="Arial"/>
          <w:sz w:val="24"/>
          <w:szCs w:val="24"/>
          <w:u w:val="single"/>
        </w:rPr>
      </w:pPr>
    </w:p>
    <w:p w14:paraId="0FCB0640" w14:textId="77777777" w:rsidR="00653FBC" w:rsidRPr="00C77C96" w:rsidRDefault="00653FBC" w:rsidP="00653FBC">
      <w:pPr>
        <w:spacing w:line="276" w:lineRule="auto"/>
        <w:jc w:val="both"/>
        <w:rPr>
          <w:rFonts w:asciiTheme="minorHAnsi" w:hAnsiTheme="minorHAnsi" w:cs="Arial"/>
          <w:sz w:val="24"/>
          <w:szCs w:val="24"/>
          <w:u w:val="single"/>
        </w:rPr>
      </w:pPr>
    </w:p>
    <w:p w14:paraId="7ABB8E60" w14:textId="77777777" w:rsidR="00653FBC" w:rsidRPr="00C77C96" w:rsidRDefault="00653FBC" w:rsidP="00653FBC">
      <w:pPr>
        <w:spacing w:line="276" w:lineRule="auto"/>
        <w:jc w:val="both"/>
        <w:rPr>
          <w:rFonts w:asciiTheme="minorHAnsi" w:hAnsiTheme="minorHAnsi" w:cs="Arial"/>
          <w:sz w:val="24"/>
          <w:szCs w:val="24"/>
          <w:u w:val="single"/>
        </w:rPr>
      </w:pPr>
    </w:p>
    <w:p w14:paraId="085203DF" w14:textId="77777777" w:rsidR="00653FBC" w:rsidRPr="00C77C96" w:rsidRDefault="00653FBC" w:rsidP="00653FBC">
      <w:pPr>
        <w:spacing w:line="276" w:lineRule="auto"/>
        <w:jc w:val="center"/>
        <w:rPr>
          <w:rFonts w:asciiTheme="minorHAnsi" w:hAnsiTheme="minorHAnsi" w:cs="Arial"/>
          <w:sz w:val="24"/>
          <w:szCs w:val="24"/>
          <w:u w:val="single"/>
        </w:rPr>
      </w:pPr>
    </w:p>
    <w:p w14:paraId="4D6B3364" w14:textId="77777777" w:rsidR="00653FBC" w:rsidRPr="00665949" w:rsidRDefault="00653FBC" w:rsidP="00653FBC">
      <w:pPr>
        <w:spacing w:line="276" w:lineRule="auto"/>
        <w:jc w:val="center"/>
        <w:rPr>
          <w:rFonts w:asciiTheme="minorHAnsi" w:hAnsiTheme="minorHAnsi" w:cs="Arial"/>
          <w:b/>
        </w:rPr>
      </w:pPr>
      <w:r w:rsidRPr="00665949">
        <w:rPr>
          <w:rFonts w:asciiTheme="minorHAnsi" w:hAnsiTheme="minorHAnsi" w:cs="Arial"/>
          <w:b/>
        </w:rPr>
        <w:t>FUNDAMENTOS</w:t>
      </w:r>
    </w:p>
    <w:p w14:paraId="249F51B5" w14:textId="77777777" w:rsidR="00653FBC" w:rsidRPr="00665949" w:rsidRDefault="00653FBC" w:rsidP="00653FBC">
      <w:pPr>
        <w:spacing w:line="276" w:lineRule="auto"/>
        <w:jc w:val="both"/>
        <w:rPr>
          <w:rFonts w:asciiTheme="minorHAnsi" w:hAnsiTheme="minorHAnsi" w:cs="Arial"/>
        </w:rPr>
      </w:pPr>
    </w:p>
    <w:p w14:paraId="3B38FEC0"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 xml:space="preserve">Es importante que nuestra provincia avance al unísono con la legislación nacional que amplía derechos a las personas. Darle tratamiento provincial a la legislación objeto de este proyecto, a la cual se pretende adherir, es un avance en ese sentido. </w:t>
      </w:r>
    </w:p>
    <w:p w14:paraId="1491D64E"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39D73DE9"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La pandemia que nos aqueja vino a dejar al descubierto muchas injusticias e inequidades de nuestra sociedad y de todo nuestro ordenamiento jurídico. En ese esquema hay cuestiones que podemos atender y otras que nos exceden como Estado Provincial, por ejemplo, aquellas injusticias que dicta el orden geopolítico, cuyas variables responden a procesos históricos en los que no es sencillo incidir, y menos aún desde un Estado Provincial. Ahora bien, esta crisis ha dejado al desnudo muchas cuestiones sobre las que sí podemos trabajar y debemos hacerlo.</w:t>
      </w:r>
    </w:p>
    <w:p w14:paraId="116EE9BE"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6709C62F"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Entre esas cuestiones sobre las que sí podemos trabajar se encuentra esta ley nacional que vino a saldar una deuda histórica en la materia, adaptándose a las nuevas tecnologías, a la nueva realidad que nos circunda, y la cual el Estado no puede dejar de acompasar en pos de garantizar y ampliar derechos a las personas.</w:t>
      </w:r>
    </w:p>
    <w:p w14:paraId="7D04E0B2"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3F2D14E2"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Por ello hacemos nuestros la gran mayoría de los argumentos del proyecto original presentado en el Congreso de la Nación, los cuales recogen la realidad y la decodifican en lenguaje normativo, actualizando legislación muy añeja que impedía la utilización de la tecnología en materia médica.</w:t>
      </w:r>
    </w:p>
    <w:p w14:paraId="3F8704A2"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39C98F39"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Es habitual que ante un territorio desconocido como lo es el digital y las nuevas tecnologías tengamos ciertas resistencias, sobre todo frente a los miedos que provoca la posibilidad de que algo se escape al control del Estado en razón de que el informático es un mundo intangible y muy avanzado en comparación a la modernización de las administraciones estatales. Pero estos obstáculos no deben detenernos, sino que deben impulsarnos a sortearlos.</w:t>
      </w:r>
    </w:p>
    <w:p w14:paraId="0488456B"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710318C5" w14:textId="77777777" w:rsidR="000102A5" w:rsidRPr="00665949" w:rsidRDefault="000102A5" w:rsidP="000102A5">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En este aspecto, rezan los fundamentos del proyecto nacional que:</w:t>
      </w:r>
    </w:p>
    <w:p w14:paraId="1EDA22B9" w14:textId="77777777" w:rsidR="000102A5" w:rsidRPr="00665949" w:rsidRDefault="000102A5" w:rsidP="000102A5">
      <w:pPr>
        <w:spacing w:line="276" w:lineRule="auto"/>
        <w:ind w:left="720"/>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br/>
        <w:t xml:space="preserve"> “Es habitual escuchar “tiene letra de médico” para calificar una escritura ilegible. Esto, que puede parecer hasta algo cultural inherente a la profesión, suele causar numerosos inconvenientes por lo que muchos países han implementado legislaciones correctivas, como es el caso de la presente propuesta”.</w:t>
      </w:r>
    </w:p>
    <w:p w14:paraId="3172CF13" w14:textId="77777777" w:rsidR="000102A5" w:rsidRPr="00665949" w:rsidRDefault="000102A5" w:rsidP="000102A5">
      <w:pPr>
        <w:spacing w:line="276" w:lineRule="auto"/>
        <w:ind w:left="720"/>
        <w:jc w:val="both"/>
        <w:rPr>
          <w:rFonts w:asciiTheme="minorHAnsi" w:eastAsia="Times New Roman" w:hAnsiTheme="minorHAnsi" w:cs="Arial"/>
          <w:color w:val="454246"/>
          <w:lang w:eastAsia="es-AR"/>
        </w:rPr>
      </w:pPr>
    </w:p>
    <w:p w14:paraId="7ADBC6D3" w14:textId="08C4627D"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Se puede decir que hay distintas hipótesis de por qué se ha instalado esta antigua y deplorable costumbre de prescribir con letra ilegible, pero más allá de la verificación de estas hipótesis, hoy por hoy contamos con las herramientas tecnológicas para suplir esta forma de prescripción, gradualmente, y evitar todos esos inconvenientes que genera. Decimos esto en razón de que la ley no viene a reemplazar la prescripción médica manuscrita, sino que viene a legitimar la prescripción digital, ampliando posibilidades haciendo uso de las nuevas tecnologías, como así también habilitando la posibilidad del uso de plataformas de teleasistencia.</w:t>
      </w:r>
    </w:p>
    <w:p w14:paraId="5C678C41"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42D50C07" w14:textId="77777777" w:rsidR="000102A5" w:rsidRPr="00665949" w:rsidRDefault="000102A5" w:rsidP="000102A5">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En ese sentido, se continúa argumentando en el proyecto original que:</w:t>
      </w:r>
    </w:p>
    <w:p w14:paraId="023B4B27" w14:textId="77777777" w:rsidR="000102A5" w:rsidRPr="00665949" w:rsidRDefault="000102A5" w:rsidP="000102A5">
      <w:pPr>
        <w:spacing w:line="276" w:lineRule="auto"/>
        <w:jc w:val="both"/>
        <w:rPr>
          <w:rFonts w:asciiTheme="minorHAnsi" w:eastAsia="Times New Roman" w:hAnsiTheme="minorHAnsi" w:cs="Arial"/>
          <w:color w:val="454246"/>
          <w:lang w:eastAsia="es-AR"/>
        </w:rPr>
      </w:pPr>
    </w:p>
    <w:p w14:paraId="37BECC25" w14:textId="77777777" w:rsidR="000102A5" w:rsidRPr="00665949" w:rsidRDefault="000102A5" w:rsidP="000102A5">
      <w:pPr>
        <w:spacing w:line="276" w:lineRule="auto"/>
        <w:ind w:left="720"/>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 xml:space="preserve"> “La prescripción médica en formato manuscrito, tal como lo prevé nuestra legislación nacional actual, ocasiona en muchos casos serios inconvenientes por su ilegibilidad a pacientes, farmacéuticos, otros profesionales que deben realizar estudios y empleados de los centros de salud. En algunos casos se ha sometido a pacientes a la prescripción de un medicamente diferente, por errores humanos en el momento de la lectura de la orden médica. Incluso en muchas oportunidades se les pide a los pacientes que regresen con una nueva prescripción, con las consiguientes molestias y perjuicios que ello representa”.</w:t>
      </w:r>
    </w:p>
    <w:p w14:paraId="2DAA6B08" w14:textId="77777777" w:rsidR="000102A5" w:rsidRPr="00665949" w:rsidRDefault="000102A5" w:rsidP="000102A5">
      <w:pPr>
        <w:spacing w:line="276" w:lineRule="auto"/>
        <w:ind w:left="720"/>
        <w:jc w:val="both"/>
        <w:rPr>
          <w:rFonts w:asciiTheme="minorHAnsi" w:eastAsia="Times New Roman" w:hAnsiTheme="minorHAnsi" w:cs="Arial"/>
          <w:i/>
          <w:color w:val="454246"/>
          <w:lang w:eastAsia="es-AR"/>
        </w:rPr>
      </w:pPr>
    </w:p>
    <w:p w14:paraId="7DD8D63D" w14:textId="77777777" w:rsidR="000102A5" w:rsidRPr="00665949" w:rsidRDefault="000102A5" w:rsidP="000102A5">
      <w:pPr>
        <w:spacing w:line="276" w:lineRule="auto"/>
        <w:ind w:left="720"/>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 “En igual sentido, la letra ilegible en la indicación de prácticas ha ocasionado que pacientes se terminaron efectuando estudios distintos a los prescriptos. También se suscitan inconvenientes en la lectura de certificados médicos, sobre todo en aquellos que deben presentarse en empresas aseguradoras de riesgos de trabajo. En este tema también debemos tener en cuenta que si se receta con el nombre genérico (mencionar el medicamento con el nombre científico, de la/s drogas que lo componen y no por la marca del laboratorio), se evitan problemas, porque cuando se receta marcas comerciales se presta a confusión ya que existen marcas parecidas, pero de distinta composición y su administración puede ocasionar serios inconvenientes por las contraindicaciones. Y además no se está cumpliendo con la Ley 25649, DE PRESCRIPCIÓN DE MEDICAMENTOS POR SU NOMBRE GENÉRICO”.</w:t>
      </w:r>
    </w:p>
    <w:p w14:paraId="029FD52E" w14:textId="77777777" w:rsidR="000102A5" w:rsidRPr="00665949" w:rsidRDefault="000102A5" w:rsidP="000102A5">
      <w:pPr>
        <w:spacing w:line="276" w:lineRule="auto"/>
        <w:jc w:val="both"/>
        <w:rPr>
          <w:rFonts w:asciiTheme="minorHAnsi" w:eastAsia="Times New Roman" w:hAnsiTheme="minorHAnsi" w:cs="Arial"/>
          <w:i/>
          <w:color w:val="454246"/>
          <w:lang w:eastAsia="es-AR"/>
        </w:rPr>
      </w:pPr>
    </w:p>
    <w:p w14:paraId="42546492" w14:textId="77777777" w:rsidR="00C77C96" w:rsidRPr="00665949" w:rsidRDefault="00C77C96" w:rsidP="00C77C96">
      <w:pPr>
        <w:spacing w:line="276" w:lineRule="auto"/>
        <w:jc w:val="both"/>
        <w:rPr>
          <w:rFonts w:asciiTheme="minorHAnsi" w:eastAsia="Times New Roman" w:hAnsiTheme="minorHAnsi" w:cs="Arial"/>
          <w:i/>
          <w:color w:val="454246"/>
          <w:lang w:eastAsia="es-AR"/>
        </w:rPr>
      </w:pPr>
    </w:p>
    <w:p w14:paraId="4E989601" w14:textId="77777777" w:rsidR="000102A5" w:rsidRPr="00665949" w:rsidRDefault="000102A5" w:rsidP="000102A5">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Por otro lado, no es menos destacable que esta nueva Ley Nacional vino a corregir en parte una ley de épocas oscuras, la Ley 17.132, sancionada el 24 de enero de 1967 durante la dictadura de Juan Carlos Onganía. Respecto de esto, se ha argumentado en el proyecto original que:</w:t>
      </w:r>
    </w:p>
    <w:p w14:paraId="4EBF85B2" w14:textId="77777777" w:rsidR="000102A5" w:rsidRPr="00665949" w:rsidRDefault="000102A5" w:rsidP="000102A5">
      <w:pPr>
        <w:spacing w:line="276" w:lineRule="auto"/>
        <w:ind w:left="720"/>
        <w:jc w:val="both"/>
        <w:rPr>
          <w:rFonts w:asciiTheme="minorHAnsi" w:eastAsia="Times New Roman" w:hAnsiTheme="minorHAnsi" w:cs="Arial"/>
          <w:i/>
          <w:color w:val="454246"/>
          <w:lang w:eastAsia="es-AR"/>
        </w:rPr>
      </w:pPr>
      <w:r w:rsidRPr="00665949">
        <w:rPr>
          <w:rFonts w:asciiTheme="minorHAnsi" w:eastAsia="Times New Roman" w:hAnsiTheme="minorHAnsi" w:cs="Arial"/>
          <w:color w:val="454246"/>
          <w:lang w:eastAsia="es-AR"/>
        </w:rPr>
        <w:br/>
        <w:t xml:space="preserve"> “[…] en la presente iniciativa proponemos una nueva redacción al inciso 7º de la Ley 17132 REGLAS PARA EL EJERCICIO DE LA MEDICINA, ODONTOLOGÍA Y ACTIVIDAD DE COLABORACIÓN DE LAS MISMAS, atendiendo a dos aspectos: a su legibilidad y a cumplir con la prescripción de medicamentos genéricos, ya que si bien es algo regulado por otra norma entendemos que debe contemplarse en esta Ley y en su artículo 19 que es el que establece las obligaciones para los profesionales que ejerzan la medicina. Creemos que esta propuesta es posible de implementar en nuestro país y a la brevedad por el bajo costo que significa adaptarse a ella. En un futuro no muy lejano confiamos en que estén dadas las condiciones sociales, económicas y de igualdad de posibilidades en todo el país, para poder implementar la receta electrónica y su vinculación inmediata con la historia clínica digital establecida en el artículo 13 de la Ley 26529 de DERECHOS DEL PACIENTE EN SU RELACIÓN CON LOS PROFESIONALES E INSTITUCIONES DE LA SALUD”.</w:t>
      </w:r>
    </w:p>
    <w:p w14:paraId="75E8FB4D" w14:textId="77777777" w:rsidR="00C77C96" w:rsidRPr="00665949" w:rsidRDefault="00C77C96" w:rsidP="00C77C96">
      <w:pPr>
        <w:spacing w:line="276" w:lineRule="auto"/>
        <w:jc w:val="both"/>
        <w:rPr>
          <w:rFonts w:asciiTheme="minorHAnsi" w:eastAsia="Times New Roman" w:hAnsiTheme="minorHAnsi" w:cs="Arial"/>
          <w:i/>
          <w:color w:val="454246"/>
          <w:lang w:eastAsia="es-AR"/>
        </w:rPr>
      </w:pPr>
    </w:p>
    <w:p w14:paraId="05FDA925" w14:textId="77777777" w:rsidR="00C77C96" w:rsidRPr="00665949" w:rsidRDefault="00C77C96" w:rsidP="00C77C96">
      <w:pPr>
        <w:spacing w:line="276" w:lineRule="auto"/>
        <w:jc w:val="both"/>
        <w:rPr>
          <w:rFonts w:asciiTheme="minorHAnsi" w:eastAsia="Times New Roman" w:hAnsiTheme="minorHAnsi" w:cs="Arial"/>
          <w:color w:val="454246"/>
          <w:lang w:eastAsia="es-AR"/>
        </w:rPr>
      </w:pPr>
      <w:r w:rsidRPr="00665949">
        <w:rPr>
          <w:rFonts w:asciiTheme="minorHAnsi" w:eastAsia="Times New Roman" w:hAnsiTheme="minorHAnsi" w:cs="Arial"/>
          <w:color w:val="454246"/>
          <w:lang w:eastAsia="es-AR"/>
        </w:rPr>
        <w:t>No es menor el hecho de que no solo viene a solucionarse una cuestión histórica en cuanto a las recetas manuscritas, sino que en el marco de la pandemia que nos atraviesa es fundamental adoptar y adherir a todas las medidas que tiendan a garantizar el distanciamiento social y reducir las posibilidades de contagios, sobre todo en situaciones médicas donde usuarios y personal de salud se ven expuestos a la posibilidad de contagio de SARS-CoV-2.</w:t>
      </w:r>
    </w:p>
    <w:p w14:paraId="6F4EA0C5" w14:textId="77777777" w:rsidR="00C77C96" w:rsidRPr="00665949" w:rsidRDefault="00C77C96" w:rsidP="00C77C96">
      <w:pPr>
        <w:spacing w:line="276" w:lineRule="auto"/>
        <w:jc w:val="both"/>
        <w:rPr>
          <w:rFonts w:asciiTheme="minorHAnsi" w:eastAsia="Times New Roman" w:hAnsiTheme="minorHAnsi" w:cs="Arial"/>
          <w:color w:val="454246"/>
          <w:lang w:eastAsia="es-AR"/>
        </w:rPr>
      </w:pPr>
    </w:p>
    <w:p w14:paraId="367A857A" w14:textId="12ED7A69" w:rsidR="00C77C96" w:rsidRPr="00665949" w:rsidRDefault="00C77C96" w:rsidP="00C77C96">
      <w:pPr>
        <w:spacing w:line="276" w:lineRule="auto"/>
        <w:jc w:val="both"/>
        <w:rPr>
          <w:rFonts w:asciiTheme="minorHAnsi" w:hAnsiTheme="minorHAnsi" w:cs="Arial"/>
          <w:i/>
        </w:rPr>
      </w:pPr>
      <w:r w:rsidRPr="00665949">
        <w:rPr>
          <w:rFonts w:asciiTheme="minorHAnsi" w:eastAsia="Times New Roman" w:hAnsiTheme="minorHAnsi" w:cs="Arial"/>
          <w:color w:val="454246"/>
          <w:lang w:eastAsia="es-AR"/>
        </w:rPr>
        <w:t>En síntesis, estimamos que la adhesión provincial va a ser útil para que los entrerrianos y entrerrianas se adapten a los nuevos desafíos tecnológicos y se generen mejores condiciones para acceder a una salud de calidad tanto en el ámbito público como en el privado.</w:t>
      </w:r>
    </w:p>
    <w:p w14:paraId="0E8C57D2" w14:textId="5F812FF0" w:rsidR="003F656F" w:rsidRPr="00C77C96" w:rsidRDefault="003F656F" w:rsidP="003F656F">
      <w:pPr>
        <w:spacing w:before="100" w:beforeAutospacing="1" w:line="360" w:lineRule="auto"/>
        <w:jc w:val="center"/>
        <w:rPr>
          <w:rFonts w:asciiTheme="minorHAnsi" w:eastAsia="Arial Unicode MS" w:hAnsiTheme="minorHAnsi" w:cstheme="minorHAnsi"/>
          <w:sz w:val="24"/>
          <w:szCs w:val="24"/>
          <w:lang w:eastAsia="es-ES"/>
        </w:rPr>
      </w:pPr>
    </w:p>
    <w:sectPr w:rsidR="003F656F" w:rsidRPr="00C77C96">
      <w:headerReference w:type="default" r:id="rId8"/>
      <w:footerReference w:type="default" r:id="rId9"/>
      <w:pgSz w:w="11910" w:h="16840"/>
      <w:pgMar w:top="680" w:right="460" w:bottom="1320" w:left="1600"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B6334" w14:textId="77777777" w:rsidR="004E157E" w:rsidRDefault="004E157E">
      <w:r>
        <w:separator/>
      </w:r>
    </w:p>
  </w:endnote>
  <w:endnote w:type="continuationSeparator" w:id="0">
    <w:p w14:paraId="6F87595B" w14:textId="77777777" w:rsidR="004E157E" w:rsidRDefault="004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67FE" w14:textId="77777777" w:rsidR="0067345E" w:rsidRDefault="0067345E">
    <w:pPr>
      <w:pStyle w:val="Piedepgina"/>
      <w:pBdr>
        <w:top w:val="thinThickSmallGap" w:sz="24" w:space="1" w:color="622423" w:themeColor="accent2" w:themeShade="7F"/>
      </w:pBdr>
      <w:rPr>
        <w:rFonts w:asciiTheme="majorHAnsi" w:eastAsiaTheme="majorEastAsia" w:hAnsiTheme="majorHAnsi" w:cstheme="majorBidi"/>
      </w:rPr>
    </w:pPr>
    <w:r>
      <w:rPr>
        <w:rFonts w:ascii="Carlito" w:hAnsi="Carlito"/>
        <w:b/>
        <w:sz w:val="16"/>
      </w:rPr>
      <w:t xml:space="preserve">Nogoyá 50, 7° B | Paraná, Entre Ríos </w:t>
    </w:r>
    <w:r>
      <w:rPr>
        <w:rFonts w:ascii="Carlito" w:hAnsi="Carlito"/>
        <w:b/>
        <w:sz w:val="16"/>
      </w:rPr>
      <w:br/>
      <w:t xml:space="preserve">Tel.: (0343) 4208123 | 4208120 </w:t>
    </w:r>
    <w:hyperlink r:id="rId1">
      <w:r>
        <w:rPr>
          <w:rFonts w:ascii="Carlito"/>
          <w:b/>
          <w:sz w:val="16"/>
        </w:rPr>
        <w:t>maradey@mailsenadoer.gob.ar</w:t>
      </w:r>
    </w:hyperlink>
    <w:r>
      <w:rPr>
        <w:rFonts w:ascii="Carlito"/>
        <w:b/>
        <w:sz w:val="16"/>
      </w:rPr>
      <w:t xml:space="preserve"> </w:t>
    </w:r>
  </w:p>
  <w:p w14:paraId="5B913EEF" w14:textId="77777777" w:rsidR="000F072A" w:rsidRDefault="000F072A">
    <w:pPr>
      <w:pStyle w:val="Textoindependiente"/>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F0009" w14:textId="77777777" w:rsidR="004E157E" w:rsidRDefault="004E157E">
      <w:r>
        <w:separator/>
      </w:r>
    </w:p>
  </w:footnote>
  <w:footnote w:type="continuationSeparator" w:id="0">
    <w:p w14:paraId="7D0C4451" w14:textId="77777777" w:rsidR="004E157E" w:rsidRDefault="004E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694F" w14:textId="77777777" w:rsidR="00BF2C8C" w:rsidRDefault="00BF2C8C" w:rsidP="00BF2C8C">
    <w:pPr>
      <w:pStyle w:val="Encabezado"/>
      <w:rPr>
        <w:rFonts w:ascii="Times New Roman"/>
        <w:noProof/>
        <w:sz w:val="20"/>
        <w:lang w:val="es-AR" w:eastAsia="es-AR"/>
      </w:rPr>
    </w:pPr>
  </w:p>
  <w:p w14:paraId="5EF3BD69" w14:textId="77777777" w:rsidR="001A105B" w:rsidRDefault="001A105B" w:rsidP="00BF2C8C">
    <w:pPr>
      <w:pStyle w:val="Encabezado"/>
      <w:rPr>
        <w:rFonts w:ascii="Times New Roman"/>
        <w:noProof/>
        <w:sz w:val="20"/>
        <w:lang w:val="es-AR" w:eastAsia="es-AR"/>
      </w:rPr>
    </w:pPr>
  </w:p>
  <w:p w14:paraId="47B64A73" w14:textId="77777777" w:rsidR="001A105B" w:rsidRDefault="001A105B" w:rsidP="00BF2C8C">
    <w:pPr>
      <w:pStyle w:val="Encabezado"/>
      <w:rPr>
        <w:rFonts w:ascii="Times New Roman"/>
        <w:noProof/>
        <w:sz w:val="20"/>
        <w:lang w:val="es-AR" w:eastAsia="es-AR"/>
      </w:rPr>
    </w:pPr>
  </w:p>
  <w:p w14:paraId="3752E76F" w14:textId="77777777" w:rsidR="005B2228" w:rsidRDefault="005B2228" w:rsidP="005B2228">
    <w:pPr>
      <w:pStyle w:val="Encabezado"/>
      <w:jc w:val="right"/>
      <w:rPr>
        <w:rFonts w:ascii="Times New Roman"/>
        <w:noProof/>
        <w:position w:val="1"/>
        <w:sz w:val="20"/>
        <w:lang w:val="es-AR" w:eastAsia="es-AR"/>
      </w:rPr>
    </w:pPr>
    <w:r>
      <w:rPr>
        <w:rFonts w:ascii="Times New Roman"/>
        <w:noProof/>
        <w:sz w:val="20"/>
        <w:lang w:val="es-AR" w:eastAsia="es-AR"/>
      </w:rPr>
      <w:t xml:space="preserve">  </w:t>
    </w:r>
    <w:r>
      <w:rPr>
        <w:rFonts w:ascii="Times New Roman"/>
        <w:noProof/>
        <w:sz w:val="20"/>
        <w:lang w:val="es-AR" w:eastAsia="es-AR"/>
      </w:rPr>
      <w:drawing>
        <wp:inline distT="0" distB="0" distL="0" distR="0" wp14:anchorId="5D2CD139" wp14:editId="1B635106">
          <wp:extent cx="1961626" cy="64126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77460" cy="646444"/>
                  </a:xfrm>
                  <a:prstGeom prst="rect">
                    <a:avLst/>
                  </a:prstGeom>
                </pic:spPr>
              </pic:pic>
            </a:graphicData>
          </a:graphic>
        </wp:inline>
      </w:drawing>
    </w:r>
    <w:r>
      <w:rPr>
        <w:rFonts w:ascii="Times New Roman"/>
        <w:noProof/>
        <w:position w:val="1"/>
        <w:sz w:val="20"/>
        <w:lang w:val="es-AR" w:eastAsia="es-AR"/>
      </w:rPr>
      <w:t xml:space="preserve"> </w:t>
    </w:r>
    <w:r w:rsidR="00BF2C8C">
      <w:rPr>
        <w:rFonts w:ascii="Times New Roman"/>
        <w:noProof/>
        <w:position w:val="1"/>
        <w:sz w:val="20"/>
        <w:lang w:val="es-AR" w:eastAsia="es-AR"/>
      </w:rPr>
      <w:t xml:space="preserve">    </w:t>
    </w:r>
    <w:r>
      <w:rPr>
        <w:rFonts w:ascii="Times New Roman"/>
        <w:noProof/>
        <w:position w:val="1"/>
        <w:sz w:val="20"/>
        <w:lang w:val="es-AR" w:eastAsia="es-AR"/>
      </w:rPr>
      <w:drawing>
        <wp:inline distT="0" distB="0" distL="0" distR="0" wp14:anchorId="4C281A70" wp14:editId="398B0A90">
          <wp:extent cx="683812" cy="678733"/>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76200" cy="671177"/>
                  </a:xfrm>
                  <a:prstGeom prst="rect">
                    <a:avLst/>
                  </a:prstGeom>
                </pic:spPr>
              </pic:pic>
            </a:graphicData>
          </a:graphic>
        </wp:inline>
      </w:drawing>
    </w:r>
  </w:p>
  <w:p w14:paraId="02855602" w14:textId="77777777" w:rsidR="001A105B" w:rsidRDefault="001A105B" w:rsidP="005B2228">
    <w:pPr>
      <w:pStyle w:val="Encabezado"/>
      <w:jc w:val="right"/>
      <w:rPr>
        <w:rFonts w:ascii="Times New Roman"/>
        <w:noProof/>
        <w:position w:val="1"/>
        <w:sz w:val="20"/>
        <w:lang w:val="es-AR" w:eastAsia="es-AR"/>
      </w:rPr>
    </w:pPr>
  </w:p>
  <w:p w14:paraId="5041458B" w14:textId="77777777" w:rsidR="00BF2C8C" w:rsidRDefault="00BF2C8C" w:rsidP="005B222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13773"/>
    <w:multiLevelType w:val="hybridMultilevel"/>
    <w:tmpl w:val="CD90ABFA"/>
    <w:lvl w:ilvl="0" w:tplc="0720D46E">
      <w:start w:val="1"/>
      <w:numFmt w:val="upperLetter"/>
      <w:lvlText w:val="%1)"/>
      <w:lvlJc w:val="left"/>
      <w:pPr>
        <w:ind w:left="1244" w:hanging="360"/>
      </w:pPr>
      <w:rPr>
        <w:rFonts w:ascii="TeX Gyre Bonum" w:eastAsia="TeX Gyre Bonum" w:hAnsi="TeX Gyre Bonum" w:cs="TeX Gyre Bonum" w:hint="default"/>
        <w:spacing w:val="-29"/>
        <w:w w:val="99"/>
        <w:sz w:val="24"/>
        <w:szCs w:val="24"/>
        <w:lang w:val="es-ES" w:eastAsia="en-US" w:bidi="ar-SA"/>
      </w:rPr>
    </w:lvl>
    <w:lvl w:ilvl="1" w:tplc="FBAA2A96">
      <w:numFmt w:val="bullet"/>
      <w:lvlText w:val="•"/>
      <w:lvlJc w:val="left"/>
      <w:pPr>
        <w:ind w:left="2100" w:hanging="360"/>
      </w:pPr>
      <w:rPr>
        <w:rFonts w:hint="default"/>
        <w:lang w:val="es-ES" w:eastAsia="en-US" w:bidi="ar-SA"/>
      </w:rPr>
    </w:lvl>
    <w:lvl w:ilvl="2" w:tplc="07140996">
      <w:numFmt w:val="bullet"/>
      <w:lvlText w:val="•"/>
      <w:lvlJc w:val="left"/>
      <w:pPr>
        <w:ind w:left="2961" w:hanging="360"/>
      </w:pPr>
      <w:rPr>
        <w:rFonts w:hint="default"/>
        <w:lang w:val="es-ES" w:eastAsia="en-US" w:bidi="ar-SA"/>
      </w:rPr>
    </w:lvl>
    <w:lvl w:ilvl="3" w:tplc="14BE1A2C">
      <w:numFmt w:val="bullet"/>
      <w:lvlText w:val="•"/>
      <w:lvlJc w:val="left"/>
      <w:pPr>
        <w:ind w:left="3821" w:hanging="360"/>
      </w:pPr>
      <w:rPr>
        <w:rFonts w:hint="default"/>
        <w:lang w:val="es-ES" w:eastAsia="en-US" w:bidi="ar-SA"/>
      </w:rPr>
    </w:lvl>
    <w:lvl w:ilvl="4" w:tplc="8848A8A2">
      <w:numFmt w:val="bullet"/>
      <w:lvlText w:val="•"/>
      <w:lvlJc w:val="left"/>
      <w:pPr>
        <w:ind w:left="4682" w:hanging="360"/>
      </w:pPr>
      <w:rPr>
        <w:rFonts w:hint="default"/>
        <w:lang w:val="es-ES" w:eastAsia="en-US" w:bidi="ar-SA"/>
      </w:rPr>
    </w:lvl>
    <w:lvl w:ilvl="5" w:tplc="BDDE841C">
      <w:numFmt w:val="bullet"/>
      <w:lvlText w:val="•"/>
      <w:lvlJc w:val="left"/>
      <w:pPr>
        <w:ind w:left="5543" w:hanging="360"/>
      </w:pPr>
      <w:rPr>
        <w:rFonts w:hint="default"/>
        <w:lang w:val="es-ES" w:eastAsia="en-US" w:bidi="ar-SA"/>
      </w:rPr>
    </w:lvl>
    <w:lvl w:ilvl="6" w:tplc="9B20826A">
      <w:numFmt w:val="bullet"/>
      <w:lvlText w:val="•"/>
      <w:lvlJc w:val="left"/>
      <w:pPr>
        <w:ind w:left="6403" w:hanging="360"/>
      </w:pPr>
      <w:rPr>
        <w:rFonts w:hint="default"/>
        <w:lang w:val="es-ES" w:eastAsia="en-US" w:bidi="ar-SA"/>
      </w:rPr>
    </w:lvl>
    <w:lvl w:ilvl="7" w:tplc="94CAAC54">
      <w:numFmt w:val="bullet"/>
      <w:lvlText w:val="•"/>
      <w:lvlJc w:val="left"/>
      <w:pPr>
        <w:ind w:left="7264" w:hanging="360"/>
      </w:pPr>
      <w:rPr>
        <w:rFonts w:hint="default"/>
        <w:lang w:val="es-ES" w:eastAsia="en-US" w:bidi="ar-SA"/>
      </w:rPr>
    </w:lvl>
    <w:lvl w:ilvl="8" w:tplc="95F2CF4C">
      <w:numFmt w:val="bullet"/>
      <w:lvlText w:val="•"/>
      <w:lvlJc w:val="left"/>
      <w:pPr>
        <w:ind w:left="812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2A"/>
    <w:rsid w:val="000102A5"/>
    <w:rsid w:val="000806B7"/>
    <w:rsid w:val="00094025"/>
    <w:rsid w:val="000D27F2"/>
    <w:rsid w:val="000D73B2"/>
    <w:rsid w:val="000F072A"/>
    <w:rsid w:val="00134758"/>
    <w:rsid w:val="001A105B"/>
    <w:rsid w:val="001A7A4B"/>
    <w:rsid w:val="001B05CB"/>
    <w:rsid w:val="002617CD"/>
    <w:rsid w:val="002D0A8A"/>
    <w:rsid w:val="00304F66"/>
    <w:rsid w:val="00321F4B"/>
    <w:rsid w:val="00346797"/>
    <w:rsid w:val="00367AD3"/>
    <w:rsid w:val="003D2C26"/>
    <w:rsid w:val="003F656F"/>
    <w:rsid w:val="00432320"/>
    <w:rsid w:val="004E157E"/>
    <w:rsid w:val="00552227"/>
    <w:rsid w:val="00563F61"/>
    <w:rsid w:val="00585F1F"/>
    <w:rsid w:val="00586BA0"/>
    <w:rsid w:val="005B2228"/>
    <w:rsid w:val="005C523B"/>
    <w:rsid w:val="00653FBC"/>
    <w:rsid w:val="00665949"/>
    <w:rsid w:val="0067345E"/>
    <w:rsid w:val="00686EBE"/>
    <w:rsid w:val="006D3D96"/>
    <w:rsid w:val="00751D7E"/>
    <w:rsid w:val="007E2814"/>
    <w:rsid w:val="00820F4C"/>
    <w:rsid w:val="00896C78"/>
    <w:rsid w:val="008A4B2B"/>
    <w:rsid w:val="008C0B6D"/>
    <w:rsid w:val="009A35AF"/>
    <w:rsid w:val="009E5420"/>
    <w:rsid w:val="00A30B7A"/>
    <w:rsid w:val="00A5486C"/>
    <w:rsid w:val="00B076A1"/>
    <w:rsid w:val="00B55EF2"/>
    <w:rsid w:val="00BF2C8C"/>
    <w:rsid w:val="00C77C96"/>
    <w:rsid w:val="00C96BA3"/>
    <w:rsid w:val="00D6440E"/>
    <w:rsid w:val="00E14324"/>
    <w:rsid w:val="00E501F6"/>
    <w:rsid w:val="00F46E37"/>
    <w:rsid w:val="00F54776"/>
    <w:rsid w:val="00FB2806"/>
    <w:rsid w:val="00FC15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5269"/>
  <w15:docId w15:val="{ED33ABAB-AF65-4CD5-822F-C771ED64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eX Gyre Bonum" w:eastAsia="TeX Gyre Bonum" w:hAnsi="TeX Gyre Bonum" w:cs="TeX Gyre Bonum"/>
      <w:lang w:val="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firstLine="707"/>
      <w:jc w:val="both"/>
    </w:pPr>
    <w:rPr>
      <w:sz w:val="24"/>
      <w:szCs w:val="24"/>
    </w:rPr>
  </w:style>
  <w:style w:type="paragraph" w:styleId="Prrafodelista">
    <w:name w:val="List Paragraph"/>
    <w:basedOn w:val="Normal"/>
    <w:uiPriority w:val="1"/>
    <w:qFormat/>
    <w:pPr>
      <w:ind w:left="1244" w:right="102"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B2228"/>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28"/>
    <w:rPr>
      <w:rFonts w:ascii="Tahoma" w:eastAsia="TeX Gyre Bonum" w:hAnsi="Tahoma" w:cs="Tahoma"/>
      <w:sz w:val="16"/>
      <w:szCs w:val="16"/>
      <w:lang w:val="es-ES"/>
    </w:rPr>
  </w:style>
  <w:style w:type="paragraph" w:styleId="Encabezado">
    <w:name w:val="header"/>
    <w:basedOn w:val="Normal"/>
    <w:link w:val="EncabezadoCar"/>
    <w:uiPriority w:val="99"/>
    <w:unhideWhenUsed/>
    <w:rsid w:val="005B2228"/>
    <w:pPr>
      <w:tabs>
        <w:tab w:val="center" w:pos="4252"/>
        <w:tab w:val="right" w:pos="8504"/>
      </w:tabs>
    </w:pPr>
  </w:style>
  <w:style w:type="character" w:customStyle="1" w:styleId="EncabezadoCar">
    <w:name w:val="Encabezado Car"/>
    <w:basedOn w:val="Fuentedeprrafopredeter"/>
    <w:link w:val="Encabezado"/>
    <w:uiPriority w:val="99"/>
    <w:rsid w:val="005B2228"/>
    <w:rPr>
      <w:rFonts w:ascii="TeX Gyre Bonum" w:eastAsia="TeX Gyre Bonum" w:hAnsi="TeX Gyre Bonum" w:cs="TeX Gyre Bonum"/>
      <w:lang w:val="es-ES"/>
    </w:rPr>
  </w:style>
  <w:style w:type="paragraph" w:styleId="Piedepgina">
    <w:name w:val="footer"/>
    <w:basedOn w:val="Normal"/>
    <w:link w:val="PiedepginaCar"/>
    <w:uiPriority w:val="99"/>
    <w:unhideWhenUsed/>
    <w:rsid w:val="005B2228"/>
    <w:pPr>
      <w:tabs>
        <w:tab w:val="center" w:pos="4252"/>
        <w:tab w:val="right" w:pos="8504"/>
      </w:tabs>
    </w:pPr>
  </w:style>
  <w:style w:type="character" w:customStyle="1" w:styleId="PiedepginaCar">
    <w:name w:val="Pie de página Car"/>
    <w:basedOn w:val="Fuentedeprrafopredeter"/>
    <w:link w:val="Piedepgina"/>
    <w:uiPriority w:val="99"/>
    <w:rsid w:val="005B2228"/>
    <w:rPr>
      <w:rFonts w:ascii="TeX Gyre Bonum" w:eastAsia="TeX Gyre Bonum" w:hAnsi="TeX Gyre Bonum" w:cs="TeX Gyre Bonum"/>
      <w:lang w:val="es-ES"/>
    </w:rPr>
  </w:style>
  <w:style w:type="character" w:styleId="Refdecomentario">
    <w:name w:val="annotation reference"/>
    <w:basedOn w:val="Fuentedeprrafopredeter"/>
    <w:uiPriority w:val="99"/>
    <w:semiHidden/>
    <w:unhideWhenUsed/>
    <w:rsid w:val="000D27F2"/>
    <w:rPr>
      <w:sz w:val="16"/>
      <w:szCs w:val="16"/>
    </w:rPr>
  </w:style>
  <w:style w:type="paragraph" w:styleId="Textocomentario">
    <w:name w:val="annotation text"/>
    <w:basedOn w:val="Normal"/>
    <w:link w:val="TextocomentarioCar"/>
    <w:uiPriority w:val="99"/>
    <w:semiHidden/>
    <w:unhideWhenUsed/>
    <w:rsid w:val="000D27F2"/>
    <w:rPr>
      <w:sz w:val="20"/>
      <w:szCs w:val="20"/>
    </w:rPr>
  </w:style>
  <w:style w:type="character" w:customStyle="1" w:styleId="TextocomentarioCar">
    <w:name w:val="Texto comentario Car"/>
    <w:basedOn w:val="Fuentedeprrafopredeter"/>
    <w:link w:val="Textocomentario"/>
    <w:uiPriority w:val="99"/>
    <w:semiHidden/>
    <w:rsid w:val="000D27F2"/>
    <w:rPr>
      <w:rFonts w:ascii="TeX Gyre Bonum" w:eastAsia="TeX Gyre Bonum" w:hAnsi="TeX Gyre Bonum" w:cs="TeX Gyre Bonum"/>
      <w:sz w:val="20"/>
      <w:szCs w:val="20"/>
      <w:lang w:val="es-ES"/>
    </w:rPr>
  </w:style>
  <w:style w:type="paragraph" w:styleId="Asuntodelcomentario">
    <w:name w:val="annotation subject"/>
    <w:basedOn w:val="Textocomentario"/>
    <w:next w:val="Textocomentario"/>
    <w:link w:val="AsuntodelcomentarioCar"/>
    <w:uiPriority w:val="99"/>
    <w:semiHidden/>
    <w:unhideWhenUsed/>
    <w:rsid w:val="000D27F2"/>
    <w:rPr>
      <w:b/>
      <w:bCs/>
    </w:rPr>
  </w:style>
  <w:style w:type="character" w:customStyle="1" w:styleId="AsuntodelcomentarioCar">
    <w:name w:val="Asunto del comentario Car"/>
    <w:basedOn w:val="TextocomentarioCar"/>
    <w:link w:val="Asuntodelcomentario"/>
    <w:uiPriority w:val="99"/>
    <w:semiHidden/>
    <w:rsid w:val="000D27F2"/>
    <w:rPr>
      <w:rFonts w:ascii="TeX Gyre Bonum" w:eastAsia="TeX Gyre Bonum" w:hAnsi="TeX Gyre Bonum" w:cs="TeX Gyre Bonum"/>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14071">
      <w:bodyDiv w:val="1"/>
      <w:marLeft w:val="0"/>
      <w:marRight w:val="0"/>
      <w:marTop w:val="0"/>
      <w:marBottom w:val="0"/>
      <w:divBdr>
        <w:top w:val="none" w:sz="0" w:space="0" w:color="auto"/>
        <w:left w:val="none" w:sz="0" w:space="0" w:color="auto"/>
        <w:bottom w:val="none" w:sz="0" w:space="0" w:color="auto"/>
        <w:right w:val="none" w:sz="0" w:space="0" w:color="auto"/>
      </w:divBdr>
    </w:div>
    <w:div w:id="1687831354">
      <w:bodyDiv w:val="1"/>
      <w:marLeft w:val="0"/>
      <w:marRight w:val="0"/>
      <w:marTop w:val="0"/>
      <w:marBottom w:val="0"/>
      <w:divBdr>
        <w:top w:val="none" w:sz="0" w:space="0" w:color="auto"/>
        <w:left w:val="none" w:sz="0" w:space="0" w:color="auto"/>
        <w:bottom w:val="none" w:sz="0" w:space="0" w:color="auto"/>
        <w:right w:val="none" w:sz="0" w:space="0" w:color="auto"/>
      </w:divBdr>
    </w:div>
    <w:div w:id="2042246606">
      <w:bodyDiv w:val="1"/>
      <w:marLeft w:val="0"/>
      <w:marRight w:val="0"/>
      <w:marTop w:val="0"/>
      <w:marBottom w:val="0"/>
      <w:divBdr>
        <w:top w:val="none" w:sz="0" w:space="0" w:color="auto"/>
        <w:left w:val="none" w:sz="0" w:space="0" w:color="auto"/>
        <w:bottom w:val="none" w:sz="0" w:space="0" w:color="auto"/>
        <w:right w:val="none" w:sz="0" w:space="0" w:color="auto"/>
      </w:divBdr>
    </w:div>
    <w:div w:id="212090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C264-3395-43F1-959E-D126A483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Romina Nicola</cp:lastModifiedBy>
  <cp:revision>2</cp:revision>
  <cp:lastPrinted>2020-08-21T13:45:00Z</cp:lastPrinted>
  <dcterms:created xsi:type="dcterms:W3CDTF">2020-08-25T20:22:00Z</dcterms:created>
  <dcterms:modified xsi:type="dcterms:W3CDTF">2020-08-25T20:22:00Z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2010</vt:lpwstr>
  </property>
  <property fmtid="{D5CDD505-2E9C-101B-9397-08002B2CF9AE}" pid="4" name="LastSaved">
    <vt:filetime>2020-06-23T00:00:00Z</vt:filetime>
  </property>
</Properties>
</file>