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105" w:rsidRPr="00C06105" w:rsidRDefault="00C06105" w:rsidP="00C06105">
      <w:pPr>
        <w:spacing w:after="0" w:line="360" w:lineRule="auto"/>
        <w:jc w:val="both"/>
        <w:rPr>
          <w:rFonts w:ascii="Arial" w:eastAsia="Times New Roman" w:hAnsi="Arial" w:cs="Arial"/>
          <w:sz w:val="24"/>
          <w:szCs w:val="24"/>
          <w:lang w:val="es-ES" w:eastAsia="es-ES"/>
        </w:rPr>
      </w:pPr>
      <w:bookmarkStart w:id="0" w:name="_GoBack"/>
      <w:bookmarkEnd w:id="0"/>
      <w:r w:rsidRPr="00C06105">
        <w:rPr>
          <w:rFonts w:ascii="Arial" w:eastAsia="Times New Roman" w:hAnsi="Arial" w:cs="Arial"/>
          <w:b/>
          <w:bCs/>
          <w:sz w:val="24"/>
          <w:szCs w:val="24"/>
          <w:lang w:val="es-ES" w:eastAsia="es-ES"/>
        </w:rPr>
        <w:t>HONORABLE SENADO</w:t>
      </w:r>
      <w:r w:rsidRPr="00C06105">
        <w:rPr>
          <w:rFonts w:ascii="Arial" w:eastAsia="Times New Roman" w:hAnsi="Arial" w:cs="Arial"/>
          <w:sz w:val="24"/>
          <w:szCs w:val="24"/>
          <w:lang w:val="es-ES" w:eastAsia="es-ES"/>
        </w:rPr>
        <w:t xml:space="preserve">: </w:t>
      </w:r>
    </w:p>
    <w:p w:rsidR="00C06105" w:rsidRPr="00C06105" w:rsidRDefault="00C06105" w:rsidP="00C06105">
      <w:pPr>
        <w:spacing w:after="0" w:line="360" w:lineRule="auto"/>
        <w:jc w:val="both"/>
        <w:rPr>
          <w:rFonts w:ascii="Arial" w:eastAsia="Times New Roman" w:hAnsi="Arial" w:cs="Arial"/>
          <w:sz w:val="24"/>
          <w:szCs w:val="24"/>
          <w:lang w:eastAsia="es-ES"/>
        </w:rPr>
      </w:pPr>
      <w:r w:rsidRPr="00C06105">
        <w:rPr>
          <w:rFonts w:ascii="Arial" w:eastAsia="Times New Roman" w:hAnsi="Arial" w:cs="Arial"/>
          <w:sz w:val="24"/>
          <w:szCs w:val="24"/>
          <w:lang w:eastAsia="es-ES"/>
        </w:rPr>
        <w:t xml:space="preserve"> </w:t>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t xml:space="preserve">La </w:t>
      </w:r>
      <w:proofErr w:type="gramStart"/>
      <w:r>
        <w:rPr>
          <w:rFonts w:ascii="Arial" w:eastAsia="Times New Roman" w:hAnsi="Arial" w:cs="Arial"/>
          <w:b/>
          <w:bCs/>
          <w:sz w:val="24"/>
          <w:szCs w:val="24"/>
          <w:lang w:eastAsia="es-ES"/>
        </w:rPr>
        <w:t>C.P.N.</w:t>
      </w:r>
      <w:r w:rsidRPr="00C06105">
        <w:rPr>
          <w:rFonts w:ascii="Arial" w:eastAsia="Times New Roman" w:hAnsi="Arial" w:cs="Arial"/>
          <w:b/>
          <w:bCs/>
          <w:sz w:val="24"/>
          <w:szCs w:val="24"/>
          <w:lang w:eastAsia="es-ES"/>
        </w:rPr>
        <w:t>.</w:t>
      </w:r>
      <w:proofErr w:type="gramEnd"/>
      <w:r w:rsidRPr="00C06105">
        <w:rPr>
          <w:rFonts w:ascii="Arial" w:eastAsia="Times New Roman" w:hAnsi="Arial" w:cs="Arial"/>
          <w:b/>
          <w:bCs/>
          <w:sz w:val="24"/>
          <w:szCs w:val="24"/>
          <w:lang w:eastAsia="es-ES"/>
        </w:rPr>
        <w:t xml:space="preserve"> María </w:t>
      </w:r>
      <w:r>
        <w:rPr>
          <w:rFonts w:ascii="Arial" w:eastAsia="Times New Roman" w:hAnsi="Arial" w:cs="Arial"/>
          <w:b/>
          <w:bCs/>
          <w:sz w:val="24"/>
          <w:szCs w:val="24"/>
          <w:lang w:eastAsia="es-ES"/>
        </w:rPr>
        <w:t>de los Ángeles MOIA</w:t>
      </w:r>
      <w:r w:rsidRPr="00C06105">
        <w:rPr>
          <w:rFonts w:ascii="Arial" w:eastAsia="Times New Roman" w:hAnsi="Arial" w:cs="Arial"/>
          <w:b/>
          <w:bCs/>
          <w:sz w:val="24"/>
          <w:szCs w:val="24"/>
          <w:lang w:eastAsia="es-ES"/>
        </w:rPr>
        <w:t>,</w:t>
      </w:r>
      <w:r w:rsidRPr="00C06105">
        <w:rPr>
          <w:rFonts w:ascii="Arial" w:eastAsia="Times New Roman" w:hAnsi="Arial" w:cs="Arial"/>
          <w:sz w:val="24"/>
          <w:szCs w:val="24"/>
          <w:lang w:eastAsia="es-ES"/>
        </w:rPr>
        <w:t xml:space="preserve"> ha sido propuesta por el Poder Ejecutivo Provincial para ocupar el cargo de </w:t>
      </w:r>
      <w:r>
        <w:rPr>
          <w:rFonts w:ascii="Arial" w:eastAsia="Times New Roman" w:hAnsi="Arial" w:cs="Arial"/>
          <w:sz w:val="24"/>
          <w:szCs w:val="24"/>
          <w:lang w:eastAsia="es-ES"/>
        </w:rPr>
        <w:t>Vocal –Contador Público</w:t>
      </w:r>
      <w:r w:rsidRPr="00C06105">
        <w:rPr>
          <w:rFonts w:ascii="Arial" w:eastAsia="Times New Roman" w:hAnsi="Arial" w:cs="Arial"/>
          <w:sz w:val="24"/>
          <w:szCs w:val="24"/>
          <w:lang w:eastAsia="es-ES"/>
        </w:rPr>
        <w:t xml:space="preserve"> del Tribunal de Cuentas de Entre Ríos. Por esa razón, ingresa a este Senado el pedido de Acuerdo para tal designación.-</w:t>
      </w:r>
    </w:p>
    <w:p w:rsidR="00C06105" w:rsidRPr="00C06105" w:rsidRDefault="00C06105" w:rsidP="00C06105">
      <w:pPr>
        <w:spacing w:after="0" w:line="360" w:lineRule="auto"/>
        <w:jc w:val="both"/>
        <w:rPr>
          <w:rFonts w:ascii="Arial" w:eastAsia="Times New Roman" w:hAnsi="Arial" w:cs="Arial"/>
          <w:sz w:val="24"/>
          <w:szCs w:val="24"/>
          <w:lang w:eastAsia="es-ES"/>
        </w:rPr>
      </w:pPr>
      <w:r w:rsidRPr="00C06105">
        <w:rPr>
          <w:rFonts w:ascii="Arial" w:eastAsia="Times New Roman" w:hAnsi="Arial" w:cs="Arial"/>
          <w:sz w:val="24"/>
          <w:szCs w:val="24"/>
          <w:lang w:eastAsia="es-ES"/>
        </w:rPr>
        <w:t xml:space="preserve"> </w:t>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p>
    <w:p w:rsidR="00C06105" w:rsidRPr="00C06105" w:rsidRDefault="00C06105" w:rsidP="00C06105">
      <w:pPr>
        <w:spacing w:after="0" w:line="360" w:lineRule="auto"/>
        <w:jc w:val="both"/>
        <w:rPr>
          <w:rFonts w:ascii="Arial" w:eastAsia="Times New Roman" w:hAnsi="Arial" w:cs="Arial"/>
          <w:sz w:val="24"/>
          <w:szCs w:val="24"/>
          <w:lang w:eastAsia="es-ES"/>
        </w:rPr>
      </w:pPr>
      <w:r w:rsidRPr="00C06105">
        <w:rPr>
          <w:rFonts w:ascii="Arial" w:eastAsia="Times New Roman" w:hAnsi="Arial" w:cs="Arial"/>
          <w:sz w:val="24"/>
          <w:szCs w:val="24"/>
          <w:lang w:val="es-ES" w:eastAsia="es-ES"/>
        </w:rPr>
        <w:t xml:space="preserve"> </w:t>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eastAsia="es-ES"/>
        </w:rPr>
        <w:t xml:space="preserve">El Consejo de la Magistratura, realizó el correspondiente concurso a fin de cubrir la vacante existente, mediante las diversas instancias: evaluación de antecedentes, oposición y entrevista, en el que la </w:t>
      </w:r>
      <w:r>
        <w:rPr>
          <w:rFonts w:ascii="Arial" w:eastAsia="Times New Roman" w:hAnsi="Arial" w:cs="Arial"/>
          <w:b/>
          <w:sz w:val="24"/>
          <w:szCs w:val="24"/>
          <w:lang w:eastAsia="es-ES"/>
        </w:rPr>
        <w:t xml:space="preserve">Contadora </w:t>
      </w:r>
      <w:proofErr w:type="spellStart"/>
      <w:r>
        <w:rPr>
          <w:rFonts w:ascii="Arial" w:eastAsia="Times New Roman" w:hAnsi="Arial" w:cs="Arial"/>
          <w:b/>
          <w:sz w:val="24"/>
          <w:szCs w:val="24"/>
          <w:lang w:eastAsia="es-ES"/>
        </w:rPr>
        <w:t>Moia</w:t>
      </w:r>
      <w:proofErr w:type="spellEnd"/>
      <w:r w:rsidRPr="00C06105">
        <w:rPr>
          <w:rFonts w:ascii="Arial" w:eastAsia="Times New Roman" w:hAnsi="Arial" w:cs="Arial"/>
          <w:sz w:val="24"/>
          <w:szCs w:val="24"/>
          <w:lang w:eastAsia="es-ES"/>
        </w:rPr>
        <w:t xml:space="preserve"> resultó ser la profesional que obtuvo el segundo puntaje en la terna correspondiente al concurso del cargo que se intenta cubrir, reuniendo asimismo todos los requisitos establecidos en la Constitución Provincial, la Ley Orgánica del Tribunal de Cuentas, el Decreto Nº 39/03 GOB. </w:t>
      </w:r>
      <w:proofErr w:type="gramStart"/>
      <w:r w:rsidRPr="00C06105">
        <w:rPr>
          <w:rFonts w:ascii="Arial" w:eastAsia="Times New Roman" w:hAnsi="Arial" w:cs="Arial"/>
          <w:sz w:val="24"/>
          <w:szCs w:val="24"/>
          <w:lang w:eastAsia="es-ES"/>
        </w:rPr>
        <w:t>y</w:t>
      </w:r>
      <w:proofErr w:type="gramEnd"/>
      <w:r w:rsidRPr="00C06105">
        <w:rPr>
          <w:rFonts w:ascii="Arial" w:eastAsia="Times New Roman" w:hAnsi="Arial" w:cs="Arial"/>
          <w:sz w:val="24"/>
          <w:szCs w:val="24"/>
          <w:lang w:eastAsia="es-ES"/>
        </w:rPr>
        <w:t xml:space="preserve"> el Reglamento General y de Concursos Públicos del Consejo de la Magistratura de Entre Ríos. El puntaje total alcanzado por la profesional propuesta y que amerita su designación asciende a </w:t>
      </w:r>
      <w:r>
        <w:rPr>
          <w:rFonts w:ascii="Arial" w:eastAsia="Times New Roman" w:hAnsi="Arial" w:cs="Arial"/>
          <w:sz w:val="24"/>
          <w:szCs w:val="24"/>
          <w:lang w:eastAsia="es-ES"/>
        </w:rPr>
        <w:t>74,70</w:t>
      </w:r>
      <w:r w:rsidRPr="00C06105">
        <w:rPr>
          <w:rFonts w:ascii="Arial" w:eastAsia="Times New Roman" w:hAnsi="Arial" w:cs="Arial"/>
          <w:sz w:val="24"/>
          <w:szCs w:val="24"/>
          <w:lang w:eastAsia="es-ES"/>
        </w:rPr>
        <w:t xml:space="preserve"> puntos, correspondiendo a Antecedentes 23,</w:t>
      </w:r>
      <w:r>
        <w:rPr>
          <w:rFonts w:ascii="Arial" w:eastAsia="Times New Roman" w:hAnsi="Arial" w:cs="Arial"/>
          <w:sz w:val="24"/>
          <w:szCs w:val="24"/>
          <w:lang w:eastAsia="es-ES"/>
        </w:rPr>
        <w:t>40</w:t>
      </w:r>
      <w:r w:rsidRPr="00C06105">
        <w:rPr>
          <w:rFonts w:ascii="Arial" w:eastAsia="Times New Roman" w:hAnsi="Arial" w:cs="Arial"/>
          <w:sz w:val="24"/>
          <w:szCs w:val="24"/>
          <w:lang w:eastAsia="es-ES"/>
        </w:rPr>
        <w:t xml:space="preserve"> puntos; Oposición 3</w:t>
      </w:r>
      <w:r>
        <w:rPr>
          <w:rFonts w:ascii="Arial" w:eastAsia="Times New Roman" w:hAnsi="Arial" w:cs="Arial"/>
          <w:sz w:val="24"/>
          <w:szCs w:val="24"/>
          <w:lang w:eastAsia="es-ES"/>
        </w:rPr>
        <w:t>2</w:t>
      </w:r>
      <w:r w:rsidRPr="00C06105">
        <w:rPr>
          <w:rFonts w:ascii="Arial" w:eastAsia="Times New Roman" w:hAnsi="Arial" w:cs="Arial"/>
          <w:sz w:val="24"/>
          <w:szCs w:val="24"/>
          <w:lang w:eastAsia="es-ES"/>
        </w:rPr>
        <w:t xml:space="preserve"> puntos y Entrevista 1</w:t>
      </w:r>
      <w:r>
        <w:rPr>
          <w:rFonts w:ascii="Arial" w:eastAsia="Times New Roman" w:hAnsi="Arial" w:cs="Arial"/>
          <w:sz w:val="24"/>
          <w:szCs w:val="24"/>
          <w:lang w:eastAsia="es-ES"/>
        </w:rPr>
        <w:t>9</w:t>
      </w:r>
      <w:r w:rsidRPr="00C06105">
        <w:rPr>
          <w:rFonts w:ascii="Arial" w:eastAsia="Times New Roman" w:hAnsi="Arial" w:cs="Arial"/>
          <w:sz w:val="24"/>
          <w:szCs w:val="24"/>
          <w:lang w:eastAsia="es-ES"/>
        </w:rPr>
        <w:t xml:space="preserve"> puntos.-  </w:t>
      </w:r>
    </w:p>
    <w:p w:rsidR="00C06105" w:rsidRPr="00C06105" w:rsidRDefault="00C06105" w:rsidP="00C06105">
      <w:pPr>
        <w:spacing w:after="0" w:line="360" w:lineRule="auto"/>
        <w:jc w:val="both"/>
        <w:rPr>
          <w:rFonts w:ascii="Arial" w:eastAsia="Times New Roman" w:hAnsi="Arial" w:cs="Arial"/>
          <w:sz w:val="24"/>
          <w:szCs w:val="24"/>
          <w:lang w:eastAsia="es-ES"/>
        </w:rPr>
      </w:pPr>
      <w:r w:rsidRPr="00C06105">
        <w:rPr>
          <w:rFonts w:ascii="Arial" w:eastAsia="Times New Roman" w:hAnsi="Arial" w:cs="Arial"/>
          <w:sz w:val="24"/>
          <w:szCs w:val="24"/>
          <w:lang w:eastAsia="es-ES"/>
        </w:rPr>
        <w:t xml:space="preserve"> </w:t>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p>
    <w:p w:rsidR="00C06105" w:rsidRPr="00C06105" w:rsidRDefault="00C06105" w:rsidP="00C06105">
      <w:pPr>
        <w:spacing w:after="0" w:line="360" w:lineRule="auto"/>
        <w:jc w:val="both"/>
        <w:rPr>
          <w:rFonts w:ascii="Arial" w:eastAsia="Times New Roman" w:hAnsi="Arial" w:cs="Arial"/>
          <w:sz w:val="24"/>
          <w:szCs w:val="24"/>
          <w:lang w:eastAsia="es-ES"/>
        </w:rPr>
      </w:pPr>
      <w:r w:rsidRPr="00C06105">
        <w:rPr>
          <w:rFonts w:ascii="Arial" w:eastAsia="Times New Roman" w:hAnsi="Arial" w:cs="Arial"/>
          <w:sz w:val="24"/>
          <w:szCs w:val="24"/>
          <w:lang w:eastAsia="es-ES"/>
        </w:rPr>
        <w:t xml:space="preserve"> </w:t>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r>
      <w:r w:rsidRPr="00C06105">
        <w:rPr>
          <w:rFonts w:ascii="Arial" w:eastAsia="Times New Roman" w:hAnsi="Arial" w:cs="Arial"/>
          <w:sz w:val="24"/>
          <w:szCs w:val="24"/>
          <w:lang w:eastAsia="es-ES"/>
        </w:rPr>
        <w:tab/>
        <w:t xml:space="preserve">Elevada la terna al Poder Ejecutivo, el Sr. Gobernador remitió a este Cuerpo la solicitud para que se preste el Acuerdo Constitucional correspondiente a la </w:t>
      </w:r>
      <w:r>
        <w:rPr>
          <w:rFonts w:ascii="Arial" w:eastAsia="Times New Roman" w:hAnsi="Arial" w:cs="Arial"/>
          <w:sz w:val="24"/>
          <w:szCs w:val="24"/>
          <w:lang w:eastAsia="es-ES"/>
        </w:rPr>
        <w:t xml:space="preserve">Contadora </w:t>
      </w:r>
      <w:proofErr w:type="spellStart"/>
      <w:r>
        <w:rPr>
          <w:rFonts w:ascii="Arial" w:eastAsia="Times New Roman" w:hAnsi="Arial" w:cs="Arial"/>
          <w:sz w:val="24"/>
          <w:szCs w:val="24"/>
          <w:lang w:eastAsia="es-ES"/>
        </w:rPr>
        <w:t>Moia</w:t>
      </w:r>
      <w:proofErr w:type="spellEnd"/>
      <w:r w:rsidRPr="00C06105">
        <w:rPr>
          <w:rFonts w:ascii="Arial" w:eastAsia="Times New Roman" w:hAnsi="Arial" w:cs="Arial"/>
          <w:sz w:val="24"/>
          <w:szCs w:val="24"/>
          <w:lang w:eastAsia="es-ES"/>
        </w:rPr>
        <w:t xml:space="preserve">.- </w:t>
      </w:r>
    </w:p>
    <w:p w:rsidR="00C06105" w:rsidRPr="00C06105" w:rsidRDefault="00C06105" w:rsidP="00C06105">
      <w:pPr>
        <w:spacing w:after="0" w:line="360" w:lineRule="auto"/>
        <w:jc w:val="both"/>
        <w:rPr>
          <w:rFonts w:ascii="Arial" w:eastAsia="Times New Roman" w:hAnsi="Arial" w:cs="Arial"/>
          <w:sz w:val="24"/>
          <w:szCs w:val="24"/>
          <w:lang w:eastAsia="es-ES"/>
        </w:rPr>
      </w:pPr>
    </w:p>
    <w:p w:rsidR="00C06105" w:rsidRPr="00C06105" w:rsidRDefault="00C06105" w:rsidP="00C06105">
      <w:pPr>
        <w:spacing w:after="0" w:line="360" w:lineRule="auto"/>
        <w:jc w:val="both"/>
        <w:rPr>
          <w:rFonts w:ascii="Arial" w:eastAsia="Times New Roman" w:hAnsi="Arial" w:cs="Arial"/>
          <w:sz w:val="24"/>
          <w:szCs w:val="24"/>
          <w:lang w:val="es-ES" w:eastAsia="es-ES"/>
        </w:rPr>
      </w:pP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t>Se han recibido adhesiones y ninguna objeción a su postulación.-</w:t>
      </w:r>
    </w:p>
    <w:p w:rsidR="00C06105" w:rsidRPr="00C06105" w:rsidRDefault="00C06105" w:rsidP="00C06105">
      <w:pPr>
        <w:spacing w:after="0" w:line="360" w:lineRule="auto"/>
        <w:jc w:val="both"/>
        <w:rPr>
          <w:rFonts w:ascii="Arial" w:eastAsia="Times New Roman" w:hAnsi="Arial" w:cs="Arial"/>
          <w:sz w:val="24"/>
          <w:szCs w:val="24"/>
          <w:lang w:val="es-ES" w:eastAsia="es-ES"/>
        </w:rPr>
      </w:pPr>
    </w:p>
    <w:p w:rsidR="00C06105" w:rsidRPr="00C06105" w:rsidRDefault="00C06105" w:rsidP="00C06105">
      <w:pPr>
        <w:spacing w:after="0" w:line="360" w:lineRule="auto"/>
        <w:jc w:val="both"/>
        <w:rPr>
          <w:rFonts w:ascii="Arial" w:eastAsia="Times New Roman" w:hAnsi="Arial" w:cs="Arial"/>
          <w:sz w:val="24"/>
          <w:szCs w:val="24"/>
          <w:lang w:val="es-ES" w:eastAsia="es-ES"/>
        </w:rPr>
      </w:pP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t xml:space="preserve">Luego de considerar el Concurso llevado adelante por el Consejo de la Magistratura, los antecedentes personales y curriculares de la </w:t>
      </w:r>
      <w:r w:rsidR="00EF6BAD">
        <w:rPr>
          <w:rFonts w:ascii="Arial" w:eastAsia="Times New Roman" w:hAnsi="Arial" w:cs="Arial"/>
          <w:sz w:val="24"/>
          <w:szCs w:val="24"/>
          <w:lang w:val="es-ES" w:eastAsia="es-ES"/>
        </w:rPr>
        <w:t>contadora</w:t>
      </w:r>
      <w:r w:rsidRPr="00C06105">
        <w:rPr>
          <w:rFonts w:ascii="Arial" w:eastAsia="Times New Roman" w:hAnsi="Arial" w:cs="Arial"/>
          <w:sz w:val="24"/>
          <w:szCs w:val="24"/>
          <w:lang w:val="es-ES" w:eastAsia="es-ES"/>
        </w:rPr>
        <w:t xml:space="preserve"> supra mencionada,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C06105" w:rsidRPr="00C06105" w:rsidRDefault="00C06105" w:rsidP="00C06105">
      <w:pPr>
        <w:spacing w:after="0" w:line="360" w:lineRule="auto"/>
        <w:jc w:val="both"/>
        <w:rPr>
          <w:rFonts w:ascii="Arial" w:eastAsia="Times New Roman" w:hAnsi="Arial" w:cs="Arial"/>
          <w:sz w:val="24"/>
          <w:szCs w:val="24"/>
          <w:lang w:val="es-ES" w:eastAsia="es-ES"/>
        </w:rPr>
      </w:pPr>
    </w:p>
    <w:p w:rsidR="00C06105" w:rsidRPr="00C06105" w:rsidRDefault="00C06105" w:rsidP="00C06105">
      <w:pPr>
        <w:spacing w:after="0" w:line="360" w:lineRule="auto"/>
        <w:jc w:val="both"/>
        <w:rPr>
          <w:rFonts w:ascii="Arial" w:eastAsia="Times New Roman" w:hAnsi="Arial" w:cs="Arial"/>
          <w:sz w:val="18"/>
          <w:szCs w:val="24"/>
          <w:lang w:val="es-ES" w:eastAsia="es-ES"/>
        </w:rPr>
      </w:pPr>
      <w:r w:rsidRPr="00C06105">
        <w:rPr>
          <w:rFonts w:ascii="Arial" w:eastAsia="Times New Roman" w:hAnsi="Arial" w:cs="Arial"/>
          <w:sz w:val="24"/>
          <w:szCs w:val="24"/>
          <w:lang w:val="es-ES" w:eastAsia="es-ES"/>
        </w:rPr>
        <w:t xml:space="preserve">                                           El pasado 18 de Noviembre, se realizó en el Recinto de éste H. Senado, la Audiencia Pública que ordena el artículo 19º del Reglamento. Luego de la lectura del </w:t>
      </w:r>
      <w:r w:rsidRPr="00C06105">
        <w:rPr>
          <w:rFonts w:ascii="Arial" w:eastAsia="Times New Roman" w:hAnsi="Arial" w:cs="Arial"/>
          <w:sz w:val="24"/>
          <w:szCs w:val="24"/>
          <w:lang w:val="es-ES" w:eastAsia="es-ES"/>
        </w:rPr>
        <w:lastRenderedPageBreak/>
        <w:t xml:space="preserve">pedido de Acuerdo remitido por el Poder Ejecutivo y de los antecedentes personales y curriculares de la </w:t>
      </w:r>
      <w:r>
        <w:rPr>
          <w:rFonts w:ascii="Arial" w:eastAsia="Times New Roman" w:hAnsi="Arial" w:cs="Arial"/>
          <w:sz w:val="24"/>
          <w:szCs w:val="24"/>
          <w:lang w:val="es-ES" w:eastAsia="es-ES"/>
        </w:rPr>
        <w:t xml:space="preserve">Contadora </w:t>
      </w:r>
      <w:proofErr w:type="spellStart"/>
      <w:r>
        <w:rPr>
          <w:rFonts w:ascii="Arial" w:eastAsia="Times New Roman" w:hAnsi="Arial" w:cs="Arial"/>
          <w:sz w:val="24"/>
          <w:szCs w:val="24"/>
          <w:lang w:val="es-ES" w:eastAsia="es-ES"/>
        </w:rPr>
        <w:t>Moia</w:t>
      </w:r>
      <w:proofErr w:type="spellEnd"/>
      <w:r w:rsidRPr="00C06105">
        <w:rPr>
          <w:rFonts w:ascii="Arial" w:eastAsia="Times New Roman" w:hAnsi="Arial" w:cs="Arial"/>
          <w:sz w:val="24"/>
          <w:szCs w:val="24"/>
          <w:lang w:val="es-ES" w:eastAsia="es-ES"/>
        </w:rPr>
        <w:t>, se procede a la formulación de preguntas por parte de los miembros de la Comisión y se  invita a</w:t>
      </w:r>
      <w:r>
        <w:rPr>
          <w:rFonts w:ascii="Arial" w:eastAsia="Times New Roman" w:hAnsi="Arial" w:cs="Arial"/>
          <w:sz w:val="24"/>
          <w:szCs w:val="24"/>
          <w:lang w:val="es-ES" w:eastAsia="es-ES"/>
        </w:rPr>
        <w:t xml:space="preserve"> </w:t>
      </w:r>
      <w:r w:rsidRPr="00C06105">
        <w:rPr>
          <w:rFonts w:ascii="Arial" w:eastAsia="Times New Roman" w:hAnsi="Arial" w:cs="Arial"/>
          <w:sz w:val="24"/>
          <w:szCs w:val="24"/>
          <w:lang w:val="es-ES" w:eastAsia="es-ES"/>
        </w:rPr>
        <w:t>l</w:t>
      </w:r>
      <w:r>
        <w:rPr>
          <w:rFonts w:ascii="Arial" w:eastAsia="Times New Roman" w:hAnsi="Arial" w:cs="Arial"/>
          <w:sz w:val="24"/>
          <w:szCs w:val="24"/>
          <w:lang w:val="es-ES" w:eastAsia="es-ES"/>
        </w:rPr>
        <w:t>a</w:t>
      </w:r>
      <w:r w:rsidRPr="00C06105">
        <w:rPr>
          <w:rFonts w:ascii="Arial" w:eastAsia="Times New Roman" w:hAnsi="Arial" w:cs="Arial"/>
          <w:sz w:val="24"/>
          <w:szCs w:val="24"/>
          <w:lang w:val="es-ES" w:eastAsia="es-ES"/>
        </w:rPr>
        <w:t xml:space="preserve"> mism</w:t>
      </w:r>
      <w:r>
        <w:rPr>
          <w:rFonts w:ascii="Arial" w:eastAsia="Times New Roman" w:hAnsi="Arial" w:cs="Arial"/>
          <w:sz w:val="24"/>
          <w:szCs w:val="24"/>
          <w:lang w:val="es-ES" w:eastAsia="es-ES"/>
        </w:rPr>
        <w:t>a</w:t>
      </w:r>
      <w:r w:rsidRPr="00C06105">
        <w:rPr>
          <w:rFonts w:ascii="Arial" w:eastAsia="Times New Roman" w:hAnsi="Arial" w:cs="Arial"/>
          <w:sz w:val="24"/>
          <w:szCs w:val="24"/>
          <w:lang w:val="es-ES" w:eastAsia="es-ES"/>
        </w:rPr>
        <w:t xml:space="preserve"> a exponer en primer término sobre su  situación patrimonial y fiscal, sus motivaciones para el cargo y valores que pretende resguardar en el ejercicio de la </w:t>
      </w:r>
      <w:r>
        <w:rPr>
          <w:rFonts w:ascii="Arial" w:eastAsia="Times New Roman" w:hAnsi="Arial" w:cs="Arial"/>
          <w:sz w:val="24"/>
          <w:szCs w:val="24"/>
          <w:lang w:eastAsia="es-ES"/>
        </w:rPr>
        <w:t>Vocalía</w:t>
      </w:r>
      <w:r w:rsidRPr="00C06105">
        <w:rPr>
          <w:rFonts w:ascii="Arial" w:eastAsia="Times New Roman" w:hAnsi="Arial" w:cs="Arial"/>
          <w:sz w:val="24"/>
          <w:szCs w:val="24"/>
          <w:lang w:eastAsia="es-ES"/>
        </w:rPr>
        <w:t xml:space="preserve"> del Tribunal de Cuentas de Entre Ríos</w:t>
      </w:r>
      <w:r w:rsidRPr="00C06105">
        <w:rPr>
          <w:rFonts w:ascii="Arial" w:eastAsia="Times New Roman" w:hAnsi="Arial" w:cs="Arial"/>
          <w:sz w:val="24"/>
          <w:szCs w:val="24"/>
          <w:lang w:val="es-ES" w:eastAsia="es-ES"/>
        </w:rPr>
        <w:t>.</w:t>
      </w:r>
      <w:r w:rsidRPr="00C06105">
        <w:rPr>
          <w:rFonts w:ascii="Arial" w:eastAsia="Times New Roman" w:hAnsi="Arial" w:cs="Arial"/>
          <w:sz w:val="18"/>
          <w:szCs w:val="24"/>
          <w:lang w:val="es-ES" w:eastAsia="es-ES"/>
        </w:rPr>
        <w:t xml:space="preserve"> </w:t>
      </w:r>
    </w:p>
    <w:p w:rsidR="00C06105" w:rsidRPr="00C06105" w:rsidRDefault="00C06105" w:rsidP="00C06105">
      <w:pPr>
        <w:spacing w:after="0" w:line="360" w:lineRule="auto"/>
        <w:jc w:val="both"/>
        <w:rPr>
          <w:rFonts w:ascii="Arial" w:eastAsia="Times New Roman" w:hAnsi="Arial" w:cs="Arial"/>
          <w:sz w:val="18"/>
          <w:szCs w:val="24"/>
          <w:lang w:val="es-ES" w:eastAsia="es-ES"/>
        </w:rPr>
      </w:pPr>
    </w:p>
    <w:p w:rsidR="00C06105" w:rsidRPr="00C06105" w:rsidRDefault="00C06105" w:rsidP="00C06105">
      <w:pPr>
        <w:spacing w:after="0" w:line="360" w:lineRule="auto"/>
        <w:jc w:val="both"/>
        <w:rPr>
          <w:rFonts w:ascii="Arial" w:eastAsia="Times New Roman" w:hAnsi="Arial" w:cs="Arial"/>
          <w:sz w:val="24"/>
          <w:szCs w:val="24"/>
          <w:lang w:val="es-ES" w:eastAsia="es-ES"/>
        </w:rPr>
      </w:pPr>
      <w:r w:rsidRPr="00C06105">
        <w:rPr>
          <w:rFonts w:ascii="Arial" w:eastAsia="Times New Roman" w:hAnsi="Arial" w:cs="Arial"/>
          <w:sz w:val="24"/>
          <w:szCs w:val="24"/>
          <w:lang w:val="es-ES" w:eastAsia="es-ES"/>
        </w:rPr>
        <w:t xml:space="preserve">                                         La exposición efectuada por </w:t>
      </w:r>
      <w:r>
        <w:rPr>
          <w:rFonts w:ascii="Arial" w:eastAsia="Times New Roman" w:hAnsi="Arial" w:cs="Arial"/>
          <w:sz w:val="24"/>
          <w:szCs w:val="24"/>
          <w:lang w:val="es-ES" w:eastAsia="es-ES"/>
        </w:rPr>
        <w:t xml:space="preserve">la </w:t>
      </w:r>
      <w:r w:rsidRPr="00C06105">
        <w:rPr>
          <w:rFonts w:ascii="Arial" w:eastAsia="Times New Roman" w:hAnsi="Arial" w:cs="Arial"/>
          <w:sz w:val="24"/>
          <w:szCs w:val="24"/>
          <w:lang w:val="es-ES" w:eastAsia="es-ES"/>
        </w:rPr>
        <w:t>postulante, ha resultado altamente satisfactoria para todos los integrantes de la Comisión.-</w:t>
      </w:r>
    </w:p>
    <w:p w:rsidR="00C06105" w:rsidRPr="00C06105" w:rsidRDefault="00C06105" w:rsidP="00C06105">
      <w:pPr>
        <w:spacing w:after="0" w:line="360" w:lineRule="auto"/>
        <w:jc w:val="both"/>
        <w:rPr>
          <w:rFonts w:ascii="Arial" w:eastAsia="Times New Roman" w:hAnsi="Arial" w:cs="Arial"/>
          <w:sz w:val="24"/>
          <w:szCs w:val="24"/>
          <w:lang w:val="es-ES" w:eastAsia="es-ES"/>
        </w:rPr>
      </w:pPr>
    </w:p>
    <w:p w:rsidR="00C06105" w:rsidRPr="00C06105" w:rsidRDefault="00C06105" w:rsidP="00C06105">
      <w:pPr>
        <w:spacing w:after="0" w:line="360" w:lineRule="auto"/>
        <w:jc w:val="both"/>
        <w:rPr>
          <w:rFonts w:ascii="Arial" w:eastAsia="Times New Roman" w:hAnsi="Arial" w:cs="Arial"/>
          <w:sz w:val="24"/>
          <w:szCs w:val="24"/>
          <w:lang w:val="es-ES" w:eastAsia="es-ES"/>
        </w:rPr>
      </w:pPr>
      <w:r w:rsidRPr="00C06105">
        <w:rPr>
          <w:rFonts w:ascii="Arial" w:eastAsia="Times New Roman" w:hAnsi="Arial" w:cs="Arial"/>
          <w:sz w:val="24"/>
          <w:szCs w:val="24"/>
          <w:lang w:val="es-ES" w:eastAsia="es-ES"/>
        </w:rPr>
        <w:t xml:space="preserve"> </w:t>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r>
      <w:r w:rsidRPr="00C06105">
        <w:rPr>
          <w:rFonts w:ascii="Arial" w:eastAsia="Times New Roman" w:hAnsi="Arial" w:cs="Arial"/>
          <w:sz w:val="24"/>
          <w:szCs w:val="24"/>
          <w:lang w:val="es-ES" w:eastAsia="es-ES"/>
        </w:rPr>
        <w:tab/>
        <w:t xml:space="preserve">Es por todo lo expuesto, que esta Comisión de Asuntos Constitucionales y Acuerdos, aconseja conceder el Acuerdo Constitucional solicitado por el Poder Ejecutivo Provincial.- </w:t>
      </w:r>
    </w:p>
    <w:p w:rsidR="00C06105" w:rsidRPr="00C06105" w:rsidRDefault="00C06105" w:rsidP="00C06105">
      <w:pPr>
        <w:spacing w:after="0" w:line="360" w:lineRule="auto"/>
        <w:jc w:val="center"/>
        <w:rPr>
          <w:rFonts w:ascii="Arial" w:eastAsia="Times New Roman" w:hAnsi="Arial" w:cs="Arial"/>
          <w:b/>
          <w:bCs/>
          <w:sz w:val="24"/>
          <w:szCs w:val="24"/>
          <w:lang w:val="es-ES" w:eastAsia="es-ES"/>
        </w:rPr>
      </w:pPr>
    </w:p>
    <w:p w:rsidR="00C06105" w:rsidRPr="00C06105" w:rsidRDefault="00C06105" w:rsidP="00C06105">
      <w:pPr>
        <w:spacing w:after="0" w:line="360" w:lineRule="auto"/>
        <w:jc w:val="center"/>
        <w:rPr>
          <w:rFonts w:ascii="Arial" w:eastAsia="Times New Roman" w:hAnsi="Arial" w:cs="Arial"/>
          <w:b/>
          <w:bCs/>
          <w:sz w:val="24"/>
          <w:szCs w:val="24"/>
          <w:lang w:val="es-ES" w:eastAsia="es-ES"/>
        </w:rPr>
      </w:pPr>
      <w:r w:rsidRPr="00C06105">
        <w:rPr>
          <w:rFonts w:ascii="Arial" w:eastAsia="Times New Roman" w:hAnsi="Arial" w:cs="Arial"/>
          <w:b/>
          <w:bCs/>
          <w:sz w:val="24"/>
          <w:szCs w:val="24"/>
          <w:lang w:val="es-ES" w:eastAsia="es-ES"/>
        </w:rPr>
        <w:t>LA HONORABLE CÁMARA DE SENADORES DE ENTRE RÍOS</w:t>
      </w:r>
    </w:p>
    <w:p w:rsidR="00C06105" w:rsidRPr="00C06105" w:rsidRDefault="00C06105" w:rsidP="00C06105">
      <w:pPr>
        <w:spacing w:after="0" w:line="360" w:lineRule="auto"/>
        <w:jc w:val="center"/>
        <w:rPr>
          <w:rFonts w:ascii="Arial" w:eastAsia="Times New Roman" w:hAnsi="Arial" w:cs="Arial"/>
          <w:b/>
          <w:bCs/>
          <w:sz w:val="24"/>
          <w:szCs w:val="24"/>
          <w:lang w:val="es-ES" w:eastAsia="es-ES"/>
        </w:rPr>
      </w:pPr>
    </w:p>
    <w:p w:rsidR="00C06105" w:rsidRPr="00C06105" w:rsidRDefault="00C06105" w:rsidP="00C06105">
      <w:pPr>
        <w:keepNext/>
        <w:spacing w:after="0" w:line="360" w:lineRule="auto"/>
        <w:jc w:val="center"/>
        <w:outlineLvl w:val="2"/>
        <w:rPr>
          <w:rFonts w:ascii="Arial" w:eastAsia="Times New Roman" w:hAnsi="Arial" w:cs="Arial"/>
          <w:b/>
          <w:bCs/>
          <w:sz w:val="24"/>
          <w:szCs w:val="24"/>
          <w:u w:val="single"/>
          <w:lang w:eastAsia="es-ES"/>
        </w:rPr>
      </w:pPr>
      <w:r w:rsidRPr="00C06105">
        <w:rPr>
          <w:rFonts w:ascii="Arial" w:eastAsia="Times New Roman" w:hAnsi="Arial" w:cs="Arial"/>
          <w:b/>
          <w:bCs/>
          <w:sz w:val="24"/>
          <w:szCs w:val="24"/>
          <w:u w:val="single"/>
          <w:lang w:eastAsia="es-ES"/>
        </w:rPr>
        <w:t>RESUELVE</w:t>
      </w:r>
    </w:p>
    <w:p w:rsidR="00C06105" w:rsidRPr="00C06105" w:rsidRDefault="00C06105" w:rsidP="00C06105">
      <w:pPr>
        <w:spacing w:after="0" w:line="360" w:lineRule="auto"/>
        <w:jc w:val="both"/>
        <w:rPr>
          <w:rFonts w:ascii="Arial" w:eastAsia="Times New Roman" w:hAnsi="Arial" w:cs="Arial"/>
          <w:b/>
          <w:bCs/>
          <w:sz w:val="24"/>
          <w:szCs w:val="24"/>
          <w:lang w:eastAsia="es-ES"/>
        </w:rPr>
      </w:pPr>
    </w:p>
    <w:p w:rsidR="00C06105" w:rsidRPr="00C06105" w:rsidRDefault="00C06105" w:rsidP="00C06105">
      <w:pPr>
        <w:spacing w:after="0" w:line="360" w:lineRule="auto"/>
        <w:jc w:val="both"/>
        <w:rPr>
          <w:rFonts w:ascii="Arial" w:eastAsia="Times New Roman" w:hAnsi="Arial" w:cs="Arial"/>
          <w:sz w:val="24"/>
          <w:szCs w:val="24"/>
          <w:lang w:eastAsia="es-ES"/>
        </w:rPr>
      </w:pPr>
      <w:r w:rsidRPr="00C06105">
        <w:rPr>
          <w:rFonts w:ascii="Arial" w:eastAsia="Times New Roman" w:hAnsi="Arial" w:cs="Arial"/>
          <w:b/>
          <w:bCs/>
          <w:sz w:val="24"/>
          <w:szCs w:val="24"/>
          <w:u w:val="single"/>
          <w:lang w:eastAsia="es-ES"/>
        </w:rPr>
        <w:t>ARTÍCULO 1º</w:t>
      </w:r>
      <w:r w:rsidRPr="00C06105">
        <w:rPr>
          <w:rFonts w:ascii="Arial" w:eastAsia="Times New Roman" w:hAnsi="Arial" w:cs="Arial"/>
          <w:sz w:val="24"/>
          <w:szCs w:val="24"/>
          <w:lang w:eastAsia="es-ES"/>
        </w:rPr>
        <w:t xml:space="preserve">: Prestar el Acuerdo Constitucional solicitado por el Poder Ejecutivo, para nombrar </w:t>
      </w:r>
      <w:r>
        <w:rPr>
          <w:rFonts w:ascii="Arial" w:eastAsia="Times New Roman" w:hAnsi="Arial" w:cs="Arial"/>
          <w:sz w:val="24"/>
          <w:szCs w:val="24"/>
          <w:lang w:eastAsia="es-ES"/>
        </w:rPr>
        <w:t>Vocal – Contador Público-</w:t>
      </w:r>
      <w:r w:rsidRPr="00C06105">
        <w:rPr>
          <w:rFonts w:ascii="Arial" w:eastAsia="Times New Roman" w:hAnsi="Arial" w:cs="Arial"/>
          <w:sz w:val="24"/>
          <w:szCs w:val="24"/>
          <w:lang w:eastAsia="es-ES"/>
        </w:rPr>
        <w:t xml:space="preserve">  del Tribunal de Cuentas de Entre Ríos, a la </w:t>
      </w:r>
      <w:r>
        <w:rPr>
          <w:rFonts w:ascii="Arial" w:eastAsia="Times New Roman" w:hAnsi="Arial" w:cs="Arial"/>
          <w:b/>
          <w:sz w:val="24"/>
          <w:szCs w:val="24"/>
          <w:lang w:eastAsia="es-ES"/>
        </w:rPr>
        <w:t>C.P.N. María de los Ángeles MOIA</w:t>
      </w:r>
      <w:r w:rsidRPr="00C06105">
        <w:rPr>
          <w:rFonts w:ascii="Arial" w:eastAsia="Times New Roman" w:hAnsi="Arial" w:cs="Arial"/>
          <w:sz w:val="24"/>
          <w:szCs w:val="24"/>
          <w:lang w:eastAsia="es-ES"/>
        </w:rPr>
        <w:t xml:space="preserve">, D.N.I. Nº </w:t>
      </w:r>
      <w:r>
        <w:rPr>
          <w:rFonts w:ascii="Arial" w:eastAsia="Times New Roman" w:hAnsi="Arial" w:cs="Arial"/>
          <w:sz w:val="24"/>
          <w:szCs w:val="24"/>
          <w:lang w:eastAsia="es-ES"/>
        </w:rPr>
        <w:t>17.615.620</w:t>
      </w:r>
      <w:r w:rsidRPr="00C06105">
        <w:rPr>
          <w:rFonts w:ascii="Arial" w:eastAsia="Times New Roman" w:hAnsi="Arial" w:cs="Arial"/>
          <w:sz w:val="24"/>
          <w:szCs w:val="24"/>
          <w:lang w:eastAsia="es-ES"/>
        </w:rPr>
        <w:t>, clase 19</w:t>
      </w:r>
      <w:r>
        <w:rPr>
          <w:rFonts w:ascii="Arial" w:eastAsia="Times New Roman" w:hAnsi="Arial" w:cs="Arial"/>
          <w:sz w:val="24"/>
          <w:szCs w:val="24"/>
          <w:lang w:eastAsia="es-ES"/>
        </w:rPr>
        <w:t>65</w:t>
      </w:r>
      <w:r w:rsidRPr="00C06105">
        <w:rPr>
          <w:rFonts w:ascii="Arial" w:eastAsia="Times New Roman" w:hAnsi="Arial" w:cs="Arial"/>
          <w:sz w:val="24"/>
          <w:szCs w:val="24"/>
          <w:lang w:eastAsia="es-ES"/>
        </w:rPr>
        <w:t>, domiciliad</w:t>
      </w:r>
      <w:r>
        <w:rPr>
          <w:rFonts w:ascii="Arial" w:eastAsia="Times New Roman" w:hAnsi="Arial" w:cs="Arial"/>
          <w:sz w:val="24"/>
          <w:szCs w:val="24"/>
          <w:lang w:eastAsia="es-ES"/>
        </w:rPr>
        <w:t>a</w:t>
      </w:r>
      <w:r w:rsidRPr="00C06105">
        <w:rPr>
          <w:rFonts w:ascii="Arial" w:eastAsia="Times New Roman" w:hAnsi="Arial" w:cs="Arial"/>
          <w:sz w:val="24"/>
          <w:szCs w:val="24"/>
          <w:lang w:eastAsia="es-ES"/>
        </w:rPr>
        <w:t xml:space="preserve"> en calle </w:t>
      </w:r>
      <w:r>
        <w:rPr>
          <w:rFonts w:ascii="Arial" w:eastAsia="Times New Roman" w:hAnsi="Arial" w:cs="Arial"/>
          <w:sz w:val="24"/>
          <w:szCs w:val="24"/>
          <w:lang w:eastAsia="es-ES"/>
        </w:rPr>
        <w:t>Francisco de Miranda</w:t>
      </w:r>
      <w:r w:rsidRPr="00C06105">
        <w:rPr>
          <w:rFonts w:ascii="Arial" w:eastAsia="Times New Roman" w:hAnsi="Arial" w:cs="Arial"/>
          <w:sz w:val="24"/>
          <w:szCs w:val="24"/>
          <w:lang w:eastAsia="es-ES"/>
        </w:rPr>
        <w:t xml:space="preserve"> Nº </w:t>
      </w:r>
      <w:r>
        <w:rPr>
          <w:rFonts w:ascii="Arial" w:eastAsia="Times New Roman" w:hAnsi="Arial" w:cs="Arial"/>
          <w:sz w:val="24"/>
          <w:szCs w:val="24"/>
          <w:lang w:eastAsia="es-ES"/>
        </w:rPr>
        <w:t>761</w:t>
      </w:r>
      <w:r w:rsidRPr="00C06105">
        <w:rPr>
          <w:rFonts w:ascii="Arial" w:eastAsia="Times New Roman" w:hAnsi="Arial" w:cs="Arial"/>
          <w:sz w:val="24"/>
          <w:szCs w:val="24"/>
          <w:lang w:eastAsia="es-ES"/>
        </w:rPr>
        <w:t xml:space="preserve">, de la ciudad de Paraná.-                 </w:t>
      </w:r>
    </w:p>
    <w:p w:rsidR="00C06105" w:rsidRPr="00C06105" w:rsidRDefault="00C06105" w:rsidP="00C06105">
      <w:pPr>
        <w:spacing w:after="0" w:line="360" w:lineRule="auto"/>
        <w:jc w:val="both"/>
        <w:rPr>
          <w:rFonts w:ascii="Arial" w:eastAsia="Times New Roman" w:hAnsi="Arial" w:cs="Arial"/>
          <w:sz w:val="24"/>
          <w:szCs w:val="24"/>
          <w:lang w:val="es-ES" w:eastAsia="es-ES"/>
        </w:rPr>
      </w:pPr>
      <w:r w:rsidRPr="00C06105">
        <w:rPr>
          <w:rFonts w:ascii="Arial" w:eastAsia="Times New Roman" w:hAnsi="Arial" w:cs="Arial"/>
          <w:sz w:val="24"/>
          <w:szCs w:val="24"/>
          <w:lang w:val="es-ES" w:eastAsia="es-ES"/>
        </w:rPr>
        <w:t xml:space="preserve">                                     </w:t>
      </w:r>
    </w:p>
    <w:p w:rsidR="00C06105" w:rsidRPr="00C06105" w:rsidRDefault="00C06105" w:rsidP="00C06105">
      <w:pPr>
        <w:spacing w:after="0" w:line="360" w:lineRule="auto"/>
        <w:jc w:val="both"/>
        <w:rPr>
          <w:rFonts w:ascii="Arial" w:eastAsia="Times New Roman" w:hAnsi="Arial" w:cs="Arial"/>
          <w:sz w:val="24"/>
          <w:szCs w:val="24"/>
          <w:lang w:val="es-ES" w:eastAsia="es-ES"/>
        </w:rPr>
      </w:pPr>
      <w:r w:rsidRPr="00C06105">
        <w:rPr>
          <w:rFonts w:ascii="Arial" w:eastAsia="Times New Roman" w:hAnsi="Arial" w:cs="Arial"/>
          <w:b/>
          <w:bCs/>
          <w:sz w:val="24"/>
          <w:szCs w:val="24"/>
          <w:u w:val="single"/>
          <w:lang w:val="es-ES" w:eastAsia="es-ES"/>
        </w:rPr>
        <w:t>ARTÍCULO 2º</w:t>
      </w:r>
      <w:r w:rsidRPr="00C06105">
        <w:rPr>
          <w:rFonts w:ascii="Arial" w:eastAsia="Times New Roman" w:hAnsi="Arial" w:cs="Arial"/>
          <w:sz w:val="24"/>
          <w:szCs w:val="24"/>
          <w:lang w:val="es-ES" w:eastAsia="es-ES"/>
        </w:rPr>
        <w:t xml:space="preserve">: Comuníquese, </w:t>
      </w:r>
      <w:proofErr w:type="gramStart"/>
      <w:r w:rsidRPr="00C06105">
        <w:rPr>
          <w:rFonts w:ascii="Arial" w:eastAsia="Times New Roman" w:hAnsi="Arial" w:cs="Arial"/>
          <w:sz w:val="24"/>
          <w:szCs w:val="24"/>
          <w:lang w:val="es-ES" w:eastAsia="es-ES"/>
        </w:rPr>
        <w:t>etc..</w:t>
      </w:r>
      <w:proofErr w:type="gramEnd"/>
      <w:r w:rsidRPr="00C06105">
        <w:rPr>
          <w:rFonts w:ascii="Arial" w:eastAsia="Times New Roman" w:hAnsi="Arial" w:cs="Arial"/>
          <w:sz w:val="24"/>
          <w:szCs w:val="24"/>
          <w:lang w:val="es-ES" w:eastAsia="es-ES"/>
        </w:rPr>
        <w:t>-</w:t>
      </w:r>
    </w:p>
    <w:p w:rsidR="00C06105" w:rsidRPr="00C06105" w:rsidRDefault="00C06105" w:rsidP="00C06105">
      <w:pPr>
        <w:spacing w:after="0" w:line="360" w:lineRule="auto"/>
        <w:jc w:val="both"/>
        <w:rPr>
          <w:rFonts w:ascii="Arial" w:eastAsia="Times New Roman" w:hAnsi="Arial" w:cs="Arial"/>
          <w:sz w:val="24"/>
          <w:szCs w:val="24"/>
          <w:lang w:val="es-ES" w:eastAsia="es-ES"/>
        </w:rPr>
      </w:pPr>
    </w:p>
    <w:p w:rsidR="00C06105" w:rsidRPr="00C06105" w:rsidRDefault="00C06105" w:rsidP="00C06105">
      <w:pPr>
        <w:keepNext/>
        <w:spacing w:after="0" w:line="360" w:lineRule="auto"/>
        <w:jc w:val="center"/>
        <w:outlineLvl w:val="1"/>
        <w:rPr>
          <w:rFonts w:ascii="Arial" w:eastAsia="Times New Roman" w:hAnsi="Arial" w:cs="Arial"/>
          <w:b/>
          <w:bCs/>
          <w:sz w:val="24"/>
          <w:szCs w:val="24"/>
          <w:lang w:eastAsia="es-ES"/>
        </w:rPr>
      </w:pPr>
    </w:p>
    <w:p w:rsidR="00C06105" w:rsidRPr="00C06105" w:rsidRDefault="00C06105" w:rsidP="00C06105">
      <w:pPr>
        <w:keepNext/>
        <w:spacing w:after="0" w:line="360" w:lineRule="auto"/>
        <w:jc w:val="right"/>
        <w:outlineLvl w:val="1"/>
        <w:rPr>
          <w:rFonts w:ascii="Arial" w:eastAsia="Times New Roman" w:hAnsi="Arial" w:cs="Arial"/>
          <w:b/>
          <w:bCs/>
          <w:sz w:val="24"/>
          <w:szCs w:val="24"/>
          <w:lang w:eastAsia="es-ES"/>
        </w:rPr>
      </w:pPr>
      <w:r w:rsidRPr="00C06105">
        <w:rPr>
          <w:rFonts w:ascii="Arial" w:eastAsia="Times New Roman" w:hAnsi="Arial" w:cs="Arial"/>
          <w:b/>
          <w:bCs/>
          <w:sz w:val="24"/>
          <w:szCs w:val="24"/>
          <w:lang w:eastAsia="es-ES"/>
        </w:rPr>
        <w:t>PARANÁ, Sala de Comisiones, 20 de Noviembre de 2020.-</w:t>
      </w:r>
    </w:p>
    <w:p w:rsidR="00C06105" w:rsidRPr="00C06105" w:rsidRDefault="00C06105" w:rsidP="00C06105">
      <w:pPr>
        <w:spacing w:after="0" w:line="360" w:lineRule="auto"/>
        <w:jc w:val="both"/>
        <w:rPr>
          <w:rFonts w:ascii="Arial" w:eastAsia="Times New Roman" w:hAnsi="Arial" w:cs="Arial"/>
          <w:sz w:val="24"/>
          <w:szCs w:val="24"/>
          <w:lang w:val="es-ES" w:eastAsia="es-ES"/>
        </w:rPr>
      </w:pPr>
    </w:p>
    <w:p w:rsidR="00C06105" w:rsidRPr="00C06105" w:rsidRDefault="00C06105" w:rsidP="00C06105">
      <w:pPr>
        <w:spacing w:after="0" w:line="360" w:lineRule="auto"/>
        <w:jc w:val="both"/>
        <w:rPr>
          <w:rFonts w:ascii="Arial" w:eastAsia="Times New Roman" w:hAnsi="Arial" w:cs="Arial"/>
          <w:sz w:val="24"/>
          <w:szCs w:val="24"/>
          <w:lang w:val="es-ES" w:eastAsia="es-ES"/>
        </w:rPr>
      </w:pPr>
    </w:p>
    <w:p w:rsidR="00C06105" w:rsidRPr="00C06105" w:rsidRDefault="00C06105" w:rsidP="00C06105">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6105">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w:t>
      </w:r>
      <w:r w:rsidRPr="00C06105">
        <w:rPr>
          <w:rFonts w:ascii="Times New Roman" w:eastAsia="Times New Roman" w:hAnsi="Times New Roman" w:cs="Times New Roman"/>
          <w:sz w:val="24"/>
          <w:szCs w:val="24"/>
          <w:lang w:eastAsia="es-ES"/>
        </w:rPr>
        <w:lastRenderedPageBreak/>
        <w:t xml:space="preserve">Noviembre de 2020, constando con el asentimiento de los integrantes de </w:t>
      </w:r>
      <w:r w:rsidR="007E0542">
        <w:rPr>
          <w:rFonts w:ascii="Times New Roman" w:eastAsia="Times New Roman" w:hAnsi="Times New Roman" w:cs="Times New Roman"/>
          <w:sz w:val="24"/>
          <w:szCs w:val="24"/>
          <w:lang w:eastAsia="es-ES"/>
        </w:rPr>
        <w:t xml:space="preserve">la misma, Senadora Miranda y Senadores </w:t>
      </w:r>
      <w:proofErr w:type="spellStart"/>
      <w:r w:rsidR="007E0542">
        <w:rPr>
          <w:rFonts w:ascii="Times New Roman" w:eastAsia="Times New Roman" w:hAnsi="Times New Roman" w:cs="Times New Roman"/>
          <w:sz w:val="24"/>
          <w:szCs w:val="24"/>
          <w:lang w:eastAsia="es-ES"/>
        </w:rPr>
        <w:t>Amavet</w:t>
      </w:r>
      <w:proofErr w:type="spellEnd"/>
      <w:r w:rsidR="007E0542">
        <w:rPr>
          <w:rFonts w:ascii="Times New Roman" w:eastAsia="Times New Roman" w:hAnsi="Times New Roman" w:cs="Times New Roman"/>
          <w:sz w:val="24"/>
          <w:szCs w:val="24"/>
          <w:lang w:eastAsia="es-ES"/>
        </w:rPr>
        <w:t xml:space="preserve">, </w:t>
      </w:r>
      <w:r w:rsidRPr="00C06105">
        <w:rPr>
          <w:rFonts w:ascii="Times New Roman" w:eastAsia="Times New Roman" w:hAnsi="Times New Roman" w:cs="Times New Roman"/>
          <w:sz w:val="24"/>
          <w:szCs w:val="24"/>
          <w:lang w:eastAsia="es-ES"/>
        </w:rPr>
        <w:t xml:space="preserve"> </w:t>
      </w:r>
      <w:proofErr w:type="spellStart"/>
      <w:r w:rsidRPr="00C06105">
        <w:rPr>
          <w:rFonts w:ascii="Times New Roman" w:eastAsia="Times New Roman" w:hAnsi="Times New Roman" w:cs="Times New Roman"/>
          <w:sz w:val="24"/>
          <w:szCs w:val="24"/>
          <w:lang w:eastAsia="es-ES"/>
        </w:rPr>
        <w:t>Genre</w:t>
      </w:r>
      <w:proofErr w:type="spellEnd"/>
      <w:r w:rsidRPr="00C06105">
        <w:rPr>
          <w:rFonts w:ascii="Times New Roman" w:eastAsia="Times New Roman" w:hAnsi="Times New Roman" w:cs="Times New Roman"/>
          <w:sz w:val="24"/>
          <w:szCs w:val="24"/>
          <w:lang w:eastAsia="es-ES"/>
        </w:rPr>
        <w:t xml:space="preserve"> </w:t>
      </w:r>
      <w:proofErr w:type="spellStart"/>
      <w:r w:rsidRPr="00C06105">
        <w:rPr>
          <w:rFonts w:ascii="Times New Roman" w:eastAsia="Times New Roman" w:hAnsi="Times New Roman" w:cs="Times New Roman"/>
          <w:sz w:val="24"/>
          <w:szCs w:val="24"/>
          <w:lang w:eastAsia="es-ES"/>
        </w:rPr>
        <w:t>Bert</w:t>
      </w:r>
      <w:proofErr w:type="spellEnd"/>
      <w:r w:rsidRPr="00C06105">
        <w:rPr>
          <w:rFonts w:ascii="Times New Roman" w:eastAsia="Times New Roman" w:hAnsi="Times New Roman" w:cs="Times New Roman"/>
          <w:sz w:val="24"/>
          <w:szCs w:val="24"/>
          <w:lang w:eastAsia="es-ES"/>
        </w:rPr>
        <w:t xml:space="preserve">, </w:t>
      </w:r>
      <w:proofErr w:type="spellStart"/>
      <w:r w:rsidRPr="00C06105">
        <w:rPr>
          <w:rFonts w:ascii="Times New Roman" w:eastAsia="Times New Roman" w:hAnsi="Times New Roman" w:cs="Times New Roman"/>
          <w:sz w:val="24"/>
          <w:szCs w:val="24"/>
          <w:lang w:eastAsia="es-ES"/>
        </w:rPr>
        <w:t>Berthet</w:t>
      </w:r>
      <w:proofErr w:type="spellEnd"/>
      <w:r w:rsidRPr="00C06105">
        <w:rPr>
          <w:rFonts w:ascii="Times New Roman" w:eastAsia="Times New Roman" w:hAnsi="Times New Roman" w:cs="Times New Roman"/>
          <w:sz w:val="24"/>
          <w:szCs w:val="24"/>
          <w:lang w:eastAsia="es-ES"/>
        </w:rPr>
        <w:t xml:space="preserve">, </w:t>
      </w:r>
      <w:proofErr w:type="spellStart"/>
      <w:r w:rsidRPr="00C06105">
        <w:rPr>
          <w:rFonts w:ascii="Times New Roman" w:eastAsia="Times New Roman" w:hAnsi="Times New Roman" w:cs="Times New Roman"/>
          <w:sz w:val="24"/>
          <w:szCs w:val="24"/>
          <w:lang w:eastAsia="es-ES"/>
        </w:rPr>
        <w:t>Bagnat</w:t>
      </w:r>
      <w:proofErr w:type="spellEnd"/>
      <w:r w:rsidRPr="00C06105">
        <w:rPr>
          <w:rFonts w:ascii="Times New Roman" w:eastAsia="Times New Roman" w:hAnsi="Times New Roman" w:cs="Times New Roman"/>
          <w:sz w:val="24"/>
          <w:szCs w:val="24"/>
          <w:lang w:eastAsia="es-ES"/>
        </w:rPr>
        <w:t xml:space="preserve"> y </w:t>
      </w:r>
      <w:proofErr w:type="spellStart"/>
      <w:r w:rsidRPr="00C06105">
        <w:rPr>
          <w:rFonts w:ascii="Times New Roman" w:eastAsia="Times New Roman" w:hAnsi="Times New Roman" w:cs="Times New Roman"/>
          <w:sz w:val="24"/>
          <w:szCs w:val="24"/>
          <w:lang w:eastAsia="es-ES"/>
        </w:rPr>
        <w:t>Dal</w:t>
      </w:r>
      <w:proofErr w:type="spellEnd"/>
      <w:r w:rsidRPr="00C06105">
        <w:rPr>
          <w:rFonts w:ascii="Times New Roman" w:eastAsia="Times New Roman" w:hAnsi="Times New Roman" w:cs="Times New Roman"/>
          <w:sz w:val="24"/>
          <w:szCs w:val="24"/>
          <w:lang w:eastAsia="es-ES"/>
        </w:rPr>
        <w:t xml:space="preserve"> </w:t>
      </w:r>
      <w:proofErr w:type="spellStart"/>
      <w:r w:rsidRPr="00C06105">
        <w:rPr>
          <w:rFonts w:ascii="Times New Roman" w:eastAsia="Times New Roman" w:hAnsi="Times New Roman" w:cs="Times New Roman"/>
          <w:sz w:val="24"/>
          <w:szCs w:val="24"/>
          <w:lang w:eastAsia="es-ES"/>
        </w:rPr>
        <w:t>Molin</w:t>
      </w:r>
      <w:proofErr w:type="spellEnd"/>
      <w:r w:rsidRPr="00C06105">
        <w:rPr>
          <w:rFonts w:ascii="Times New Roman" w:eastAsia="Times New Roman" w:hAnsi="Times New Roman" w:cs="Times New Roman"/>
          <w:sz w:val="24"/>
          <w:szCs w:val="24"/>
          <w:lang w:eastAsia="es-ES"/>
        </w:rPr>
        <w:t>.-</w:t>
      </w:r>
    </w:p>
    <w:p w:rsidR="00C06105" w:rsidRPr="00C06105" w:rsidRDefault="00C06105" w:rsidP="00C06105"/>
    <w:p w:rsidR="00252C36" w:rsidRDefault="00252C36"/>
    <w:sectPr w:rsidR="00252C36" w:rsidSect="007E0542">
      <w:pgSz w:w="11906" w:h="16838"/>
      <w:pgMar w:top="3175"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05"/>
    <w:rsid w:val="00252C36"/>
    <w:rsid w:val="007E0542"/>
    <w:rsid w:val="00A0743C"/>
    <w:rsid w:val="00C06105"/>
    <w:rsid w:val="00EF6B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8A599-5ABE-4675-907F-1FFF0564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0743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7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581</Words>
  <Characters>3199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nestor ferrutti</cp:lastModifiedBy>
  <cp:revision>3</cp:revision>
  <cp:lastPrinted>2020-11-20T14:31:00Z</cp:lastPrinted>
  <dcterms:created xsi:type="dcterms:W3CDTF">2020-11-20T13:39:00Z</dcterms:created>
  <dcterms:modified xsi:type="dcterms:W3CDTF">2020-11-20T14:33:00Z</dcterms:modified>
</cp:coreProperties>
</file>