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Default="00BD21EB" w:rsidP="00A642F0">
      <w:pPr>
        <w:jc w:val="center"/>
      </w:pPr>
    </w:p>
    <w:p w:rsidR="00DF10CF" w:rsidRPr="00DD52EC" w:rsidRDefault="00A351FB" w:rsidP="00DF10C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52EC">
        <w:rPr>
          <w:rFonts w:ascii="Arial" w:hAnsi="Arial" w:cs="Arial"/>
          <w:sz w:val="24"/>
          <w:szCs w:val="24"/>
        </w:rPr>
        <w:t>Fundamentos</w:t>
      </w:r>
    </w:p>
    <w:p w:rsidR="004C3BE5" w:rsidRDefault="00B45EF8" w:rsidP="000D748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Que el régimen municipal entrerriano en su ley 10.027 establece </w:t>
      </w:r>
      <w:r w:rsidR="004C3B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en </w:t>
      </w:r>
      <w:r w:rsidR="004C3BE5"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</w:t>
      </w:r>
      <w:r w:rsidR="004C3B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183</w:t>
      </w:r>
      <w:r w:rsidR="000D74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°</w:t>
      </w:r>
      <w:r w:rsidR="004C3BE5"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, </w:t>
      </w:r>
      <w:r w:rsidR="004C3B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que “t</w:t>
      </w:r>
      <w:r w:rsidR="004C3BE5"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odas las personas físicas o jurídicas que exploten concesiones de servicios públicos, </w:t>
      </w:r>
      <w:r w:rsidR="000D7480">
        <w:rPr>
          <w:rFonts w:ascii="Arial" w:eastAsia="Times New Roman" w:hAnsi="Arial" w:cs="Arial"/>
          <w:sz w:val="24"/>
          <w:szCs w:val="24"/>
          <w:lang w:eastAsia="es-ES"/>
        </w:rPr>
        <w:t>podrán</w:t>
      </w:r>
      <w:r w:rsidR="004C3BE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3BE5"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ser fiscalizadas por funcionarios del Municipio, </w:t>
      </w:r>
      <w:proofErr w:type="spellStart"/>
      <w:r w:rsidR="004C3BE5" w:rsidRPr="001B0516">
        <w:rPr>
          <w:rFonts w:ascii="Arial" w:eastAsia="Times New Roman" w:hAnsi="Arial" w:cs="Arial"/>
          <w:sz w:val="24"/>
          <w:szCs w:val="24"/>
          <w:lang w:eastAsia="es-ES"/>
        </w:rPr>
        <w:t>aún</w:t>
      </w:r>
      <w:proofErr w:type="spellEnd"/>
      <w:r w:rsidR="004C3BE5"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cuando en el título constitutivo de la concesión no se hubiere previsto esa facultad de contralor.-</w:t>
      </w:r>
    </w:p>
    <w:p w:rsidR="000D7480" w:rsidRDefault="000D7480" w:rsidP="000D748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Que en esta materia, tal como lo prevé el artículo en cuestión, queda de modo facultativo, pero considerando que en relación a los servicios públicos, existen por un lado la actual ley de responsabilidad del Estado</w:t>
      </w:r>
      <w:r w:rsidR="00DF0ADE">
        <w:rPr>
          <w:rFonts w:ascii="Arial" w:eastAsia="Times New Roman" w:hAnsi="Arial" w:cs="Arial"/>
          <w:sz w:val="24"/>
          <w:szCs w:val="24"/>
          <w:lang w:eastAsia="es-ES"/>
        </w:rPr>
        <w:t xml:space="preserve"> provincial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tiene </w:t>
      </w: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una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acápite especifico en materia de responsabilidad por el control sobre las prestatarias de servicios públicos. </w:t>
      </w:r>
    </w:p>
    <w:p w:rsidR="000D7480" w:rsidRDefault="000D7480" w:rsidP="000D748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Y al mismo tiempo existen previsiones constitucionales tanto de índole nacional o provincial, </w:t>
      </w:r>
      <w:r w:rsidR="00DF0ADE">
        <w:rPr>
          <w:rFonts w:ascii="Arial" w:eastAsia="Times New Roman" w:hAnsi="Arial" w:cs="Arial"/>
          <w:sz w:val="24"/>
          <w:szCs w:val="24"/>
          <w:lang w:eastAsia="es-ES"/>
        </w:rPr>
        <w:t>en relación a los derechos de los usuarios, es que consideramos que el carácter del artículo debe ser preceptivo, debiendo cada municipio prever el debido control de cada</w:t>
      </w:r>
      <w:r w:rsidR="00337912">
        <w:rPr>
          <w:rFonts w:ascii="Arial" w:eastAsia="Times New Roman" w:hAnsi="Arial" w:cs="Arial"/>
          <w:sz w:val="24"/>
          <w:szCs w:val="24"/>
          <w:lang w:eastAsia="es-ES"/>
        </w:rPr>
        <w:t xml:space="preserve"> servicio público concesionado. Esté o no previsto en la licitación respectiva.</w:t>
      </w:r>
    </w:p>
    <w:p w:rsidR="00337912" w:rsidRDefault="00337912" w:rsidP="000D748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DF0ADE" w:rsidRPr="001B0516" w:rsidRDefault="00DF0ADE" w:rsidP="000D748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5EF8" w:rsidRDefault="002C31AE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40764067" wp14:editId="1391813E">
            <wp:simplePos x="0" y="0"/>
            <wp:positionH relativeFrom="column">
              <wp:posOffset>3968115</wp:posOffset>
            </wp:positionH>
            <wp:positionV relativeFrom="paragraph">
              <wp:posOffset>174625</wp:posOffset>
            </wp:positionV>
            <wp:extent cx="1685925" cy="1447800"/>
            <wp:effectExtent l="0" t="0" r="0" b="0"/>
            <wp:wrapNone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450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EF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722097" w:rsidRDefault="00722097" w:rsidP="00722097">
      <w:pPr>
        <w:jc w:val="center"/>
      </w:pPr>
      <w:r>
        <w:rPr>
          <w:rFonts w:ascii="Arial" w:eastAsia="Times New Roman" w:hAnsi="Arial" w:cs="Arial"/>
          <w:sz w:val="24"/>
          <w:szCs w:val="24"/>
          <w:lang w:eastAsia="es-ES"/>
        </w:rPr>
        <w:br w:type="column"/>
      </w:r>
    </w:p>
    <w:p w:rsidR="00722097" w:rsidRPr="001B60E2" w:rsidRDefault="00722097" w:rsidP="00722097">
      <w:pPr>
        <w:pStyle w:val="Textoindependiente"/>
        <w:spacing w:line="360" w:lineRule="auto"/>
        <w:jc w:val="center"/>
        <w:rPr>
          <w:rFonts w:ascii="Times New Roman" w:hAnsi="Times New Roman" w:cs="Times New Roman"/>
          <w:spacing w:val="-6"/>
        </w:rPr>
      </w:pPr>
      <w:r w:rsidRPr="001B60E2">
        <w:rPr>
          <w:rFonts w:ascii="Times New Roman" w:hAnsi="Times New Roman" w:cs="Times New Roman"/>
          <w:spacing w:val="-6"/>
        </w:rPr>
        <w:t>LA LEGISLATURA DE LA PROVINCIA DE ENTRE RÍOS SANCIONA CON FUERZA DE</w:t>
      </w:r>
    </w:p>
    <w:p w:rsidR="00722097" w:rsidRDefault="00722097" w:rsidP="00722097">
      <w:pPr>
        <w:spacing w:line="360" w:lineRule="auto"/>
        <w:jc w:val="center"/>
        <w:rPr>
          <w:b/>
        </w:rPr>
      </w:pPr>
      <w:r w:rsidRPr="001B60E2">
        <w:rPr>
          <w:b/>
        </w:rPr>
        <w:t>L E Y:</w:t>
      </w:r>
    </w:p>
    <w:p w:rsidR="00722097" w:rsidRDefault="00722097" w:rsidP="00722097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</w:pPr>
    </w:p>
    <w:p w:rsidR="00722097" w:rsidRDefault="00722097" w:rsidP="00722097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1°: </w:t>
      </w:r>
      <w:proofErr w:type="spellStart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case</w:t>
      </w:r>
      <w:proofErr w:type="spellEnd"/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183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° de la ley N°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10027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, el cual quedará redactado de la siguiente manera: </w:t>
      </w:r>
    </w:p>
    <w:p w:rsidR="00722097" w:rsidRPr="00B26D31" w:rsidRDefault="00722097" w:rsidP="00722097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722097" w:rsidRPr="001B0516" w:rsidRDefault="00722097" w:rsidP="00722097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ARTICULO 183º.- Todas las personas físicas o jurídicas que exploten concesiones de servicios públicos, </w:t>
      </w:r>
      <w:r w:rsidRPr="00BD290A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>deberán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ser fiscalizadas por funcionarios del Municipio, </w:t>
      </w:r>
      <w:proofErr w:type="spellStart"/>
      <w:r w:rsidRPr="001B0516">
        <w:rPr>
          <w:rFonts w:ascii="Arial" w:eastAsia="Times New Roman" w:hAnsi="Arial" w:cs="Arial"/>
          <w:sz w:val="24"/>
          <w:szCs w:val="24"/>
          <w:lang w:eastAsia="es-ES"/>
        </w:rPr>
        <w:t>aún</w:t>
      </w:r>
      <w:proofErr w:type="spellEnd"/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cuando en el título constitutivo de la concesión no se hubiere previsto esa facultad de contralor.-</w:t>
      </w:r>
    </w:p>
    <w:p w:rsidR="00722097" w:rsidRPr="00B26D31" w:rsidRDefault="00722097" w:rsidP="00722097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“</w:t>
      </w:r>
      <w:r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Artículo 2º –</w:t>
      </w: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De forma.</w:t>
      </w:r>
    </w:p>
    <w:p w:rsidR="00722097" w:rsidRPr="00F6347E" w:rsidRDefault="00722097" w:rsidP="00722097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722097" w:rsidRPr="00F6347E" w:rsidRDefault="00722097" w:rsidP="00722097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722097" w:rsidRPr="00F6347E" w:rsidRDefault="00722097" w:rsidP="00722097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ab/>
      </w:r>
    </w:p>
    <w:p w:rsidR="00722097" w:rsidRPr="00F6347E" w:rsidRDefault="00722097" w:rsidP="00722097">
      <w:pPr>
        <w:jc w:val="both"/>
        <w:rPr>
          <w:rFonts w:ascii="Arial" w:hAnsi="Arial" w:cs="Arial"/>
          <w:sz w:val="24"/>
          <w:szCs w:val="24"/>
        </w:rPr>
      </w:pPr>
    </w:p>
    <w:p w:rsidR="00722097" w:rsidRPr="001B60E2" w:rsidRDefault="00722097" w:rsidP="00722097">
      <w:pPr>
        <w:spacing w:line="360" w:lineRule="auto"/>
        <w:jc w:val="center"/>
        <w:rPr>
          <w:b/>
        </w:rPr>
      </w:pPr>
    </w:p>
    <w:p w:rsidR="00722097" w:rsidRDefault="00722097" w:rsidP="0072209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1ADCF6E5" wp14:editId="29F87879">
            <wp:extent cx="1689376" cy="1253971"/>
            <wp:effectExtent l="19050" t="0" r="6074" b="0"/>
            <wp:docPr id="2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CED" w:rsidRDefault="00793CED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</w:p>
    <w:sectPr w:rsidR="00793CED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F2" w:rsidRDefault="003E72F2" w:rsidP="00DF78C2">
      <w:pPr>
        <w:spacing w:after="0" w:line="240" w:lineRule="auto"/>
      </w:pPr>
      <w:r>
        <w:separator/>
      </w:r>
    </w:p>
  </w:endnote>
  <w:endnote w:type="continuationSeparator" w:id="0">
    <w:p w:rsidR="003E72F2" w:rsidRDefault="003E72F2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F2" w:rsidRDefault="003E72F2" w:rsidP="00DF78C2">
      <w:pPr>
        <w:spacing w:after="0" w:line="240" w:lineRule="auto"/>
      </w:pPr>
      <w:r>
        <w:separator/>
      </w:r>
    </w:p>
  </w:footnote>
  <w:footnote w:type="continuationSeparator" w:id="0">
    <w:p w:rsidR="003E72F2" w:rsidRDefault="003E72F2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4B9ECED4" wp14:editId="26717A4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95CBA"/>
    <w:rsid w:val="000C0F11"/>
    <w:rsid w:val="000D6593"/>
    <w:rsid w:val="000D7480"/>
    <w:rsid w:val="001C16CF"/>
    <w:rsid w:val="001E6C54"/>
    <w:rsid w:val="00244D66"/>
    <w:rsid w:val="00295016"/>
    <w:rsid w:val="002A5E85"/>
    <w:rsid w:val="002B2AC9"/>
    <w:rsid w:val="002C31AE"/>
    <w:rsid w:val="002D7721"/>
    <w:rsid w:val="002E2E7E"/>
    <w:rsid w:val="002F743F"/>
    <w:rsid w:val="00337912"/>
    <w:rsid w:val="003569D9"/>
    <w:rsid w:val="003D4411"/>
    <w:rsid w:val="003E72F2"/>
    <w:rsid w:val="00402356"/>
    <w:rsid w:val="00406442"/>
    <w:rsid w:val="00493875"/>
    <w:rsid w:val="004C3BE5"/>
    <w:rsid w:val="004F34D4"/>
    <w:rsid w:val="005040EE"/>
    <w:rsid w:val="00535CC1"/>
    <w:rsid w:val="00590D66"/>
    <w:rsid w:val="005C29DA"/>
    <w:rsid w:val="005E2D51"/>
    <w:rsid w:val="00651AD8"/>
    <w:rsid w:val="00673E38"/>
    <w:rsid w:val="006C72C3"/>
    <w:rsid w:val="0070009D"/>
    <w:rsid w:val="00722097"/>
    <w:rsid w:val="00787390"/>
    <w:rsid w:val="00790735"/>
    <w:rsid w:val="007921DF"/>
    <w:rsid w:val="00793CED"/>
    <w:rsid w:val="007E1784"/>
    <w:rsid w:val="007F6B8E"/>
    <w:rsid w:val="008159C2"/>
    <w:rsid w:val="00831455"/>
    <w:rsid w:val="00865F63"/>
    <w:rsid w:val="00866E12"/>
    <w:rsid w:val="008A4E8B"/>
    <w:rsid w:val="008A6FB6"/>
    <w:rsid w:val="008B13DB"/>
    <w:rsid w:val="008B70C1"/>
    <w:rsid w:val="00943DDA"/>
    <w:rsid w:val="00956E4D"/>
    <w:rsid w:val="00971E8D"/>
    <w:rsid w:val="00974BE0"/>
    <w:rsid w:val="00995495"/>
    <w:rsid w:val="009A0A3E"/>
    <w:rsid w:val="00A351FB"/>
    <w:rsid w:val="00A642F0"/>
    <w:rsid w:val="00A979A6"/>
    <w:rsid w:val="00AE5963"/>
    <w:rsid w:val="00B21434"/>
    <w:rsid w:val="00B2776D"/>
    <w:rsid w:val="00B45EF8"/>
    <w:rsid w:val="00BC3A05"/>
    <w:rsid w:val="00BD21EB"/>
    <w:rsid w:val="00BF0974"/>
    <w:rsid w:val="00C06E4B"/>
    <w:rsid w:val="00C07FBD"/>
    <w:rsid w:val="00C455B0"/>
    <w:rsid w:val="00C56683"/>
    <w:rsid w:val="00C72565"/>
    <w:rsid w:val="00CF302E"/>
    <w:rsid w:val="00D068EB"/>
    <w:rsid w:val="00D15766"/>
    <w:rsid w:val="00D2732B"/>
    <w:rsid w:val="00D307F3"/>
    <w:rsid w:val="00D81520"/>
    <w:rsid w:val="00DD3C45"/>
    <w:rsid w:val="00DD52EC"/>
    <w:rsid w:val="00DE6067"/>
    <w:rsid w:val="00DF0ADE"/>
    <w:rsid w:val="00DF10CF"/>
    <w:rsid w:val="00DF5493"/>
    <w:rsid w:val="00DF78C2"/>
    <w:rsid w:val="00E00A4B"/>
    <w:rsid w:val="00E1250F"/>
    <w:rsid w:val="00E4051B"/>
    <w:rsid w:val="00E53EC6"/>
    <w:rsid w:val="00E63A7F"/>
    <w:rsid w:val="00ED399D"/>
    <w:rsid w:val="00EE79CF"/>
    <w:rsid w:val="00F2558A"/>
    <w:rsid w:val="00F300B9"/>
    <w:rsid w:val="00F32A82"/>
    <w:rsid w:val="00F51D2C"/>
    <w:rsid w:val="00FB7FDD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B6025-23C1-4ACD-97A7-F410FDE8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senado</cp:lastModifiedBy>
  <cp:revision>2</cp:revision>
  <dcterms:created xsi:type="dcterms:W3CDTF">2020-10-29T14:17:00Z</dcterms:created>
  <dcterms:modified xsi:type="dcterms:W3CDTF">2020-10-29T14:17:00Z</dcterms:modified>
</cp:coreProperties>
</file>