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E11" w:rsidRDefault="00004E11" w:rsidP="00905AAD">
      <w:pPr>
        <w:spacing w:line="360" w:lineRule="auto"/>
        <w:jc w:val="both"/>
        <w:rPr>
          <w:b/>
          <w:bCs/>
          <w:sz w:val="16"/>
        </w:rPr>
      </w:pPr>
      <w:bookmarkStart w:id="0" w:name="_GoBack"/>
      <w:bookmarkEnd w:id="0"/>
      <w:r>
        <w:rPr>
          <w:b/>
          <w:bCs/>
          <w:lang w:val="es-AR"/>
        </w:rPr>
        <w:t>HONORABLE SENADO:</w:t>
      </w:r>
    </w:p>
    <w:p w:rsidR="00004E11" w:rsidRDefault="00004E11" w:rsidP="00905AAD">
      <w:pPr>
        <w:spacing w:line="360" w:lineRule="auto"/>
        <w:ind w:left="62"/>
        <w:jc w:val="both"/>
        <w:rPr>
          <w:b/>
          <w:bCs/>
          <w:sz w:val="16"/>
        </w:rPr>
      </w:pPr>
    </w:p>
    <w:p w:rsidR="00004E11" w:rsidRPr="0069505A" w:rsidRDefault="00004E11" w:rsidP="00905AAD">
      <w:pPr>
        <w:spacing w:line="360" w:lineRule="auto"/>
        <w:jc w:val="both"/>
        <w:rPr>
          <w:bCs/>
          <w:lang w:val="es-AR"/>
        </w:rPr>
      </w:pPr>
      <w:r>
        <w:rPr>
          <w:b/>
          <w:bCs/>
        </w:rPr>
        <w:t xml:space="preserve">                                           </w:t>
      </w:r>
      <w:r>
        <w:rPr>
          <w:bCs/>
        </w:rPr>
        <w:t xml:space="preserve">Vuestra </w:t>
      </w:r>
      <w:r>
        <w:rPr>
          <w:b/>
          <w:bCs/>
          <w:lang w:val="es-AR"/>
        </w:rPr>
        <w:t>Comisión de</w:t>
      </w:r>
      <w:r w:rsidR="0090325D">
        <w:rPr>
          <w:b/>
          <w:bCs/>
          <w:lang w:val="es-AR"/>
        </w:rPr>
        <w:t xml:space="preserve"> Presupuesto y Hacienda</w:t>
      </w:r>
      <w:r w:rsidR="005D7B6C">
        <w:rPr>
          <w:bCs/>
        </w:rPr>
        <w:t xml:space="preserve">, </w:t>
      </w:r>
      <w:r>
        <w:rPr>
          <w:bCs/>
        </w:rPr>
        <w:t xml:space="preserve">ha considerado el Proyecto de </w:t>
      </w:r>
      <w:r w:rsidR="0090325D">
        <w:rPr>
          <w:bCs/>
        </w:rPr>
        <w:t xml:space="preserve">Ley venido en revisión </w:t>
      </w:r>
      <w:r>
        <w:rPr>
          <w:bCs/>
        </w:rPr>
        <w:t xml:space="preserve">contenido en el </w:t>
      </w:r>
      <w:r>
        <w:rPr>
          <w:b/>
          <w:bCs/>
        </w:rPr>
        <w:t>Expediente</w:t>
      </w:r>
      <w:r>
        <w:rPr>
          <w:bCs/>
        </w:rPr>
        <w:t xml:space="preserve"> </w:t>
      </w:r>
      <w:r>
        <w:rPr>
          <w:b/>
        </w:rPr>
        <w:t xml:space="preserve">Nº </w:t>
      </w:r>
      <w:r w:rsidR="00562F3F">
        <w:rPr>
          <w:b/>
        </w:rPr>
        <w:t>24.425</w:t>
      </w:r>
      <w:r>
        <w:rPr>
          <w:bCs/>
        </w:rPr>
        <w:t>,</w:t>
      </w:r>
      <w:r>
        <w:rPr>
          <w:b/>
        </w:rPr>
        <w:t xml:space="preserve"> </w:t>
      </w:r>
      <w:r>
        <w:rPr>
          <w:bCs/>
        </w:rPr>
        <w:t>de</w:t>
      </w:r>
      <w:r w:rsidR="00E2279A">
        <w:rPr>
          <w:bCs/>
        </w:rPr>
        <w:t xml:space="preserve"> autoría de</w:t>
      </w:r>
      <w:r w:rsidR="0090325D">
        <w:rPr>
          <w:bCs/>
        </w:rPr>
        <w:t>l</w:t>
      </w:r>
      <w:r w:rsidR="00E2279A">
        <w:rPr>
          <w:bCs/>
        </w:rPr>
        <w:t xml:space="preserve"> </w:t>
      </w:r>
      <w:r w:rsidR="00562F3F">
        <w:rPr>
          <w:bCs/>
        </w:rPr>
        <w:t>Superior Tribunal</w:t>
      </w:r>
      <w:r>
        <w:rPr>
          <w:bCs/>
          <w:lang w:val="es-AR"/>
        </w:rPr>
        <w:t xml:space="preserve">, </w:t>
      </w:r>
      <w:r w:rsidR="00E2279A">
        <w:rPr>
          <w:bCs/>
          <w:lang w:val="es-AR"/>
        </w:rPr>
        <w:t>mediante el cual</w:t>
      </w:r>
      <w:r w:rsidR="00562F3F">
        <w:rPr>
          <w:bCs/>
          <w:lang w:val="es-AR"/>
        </w:rPr>
        <w:t xml:space="preserve"> se autoriza al Superior Tribunal de Justicia de Entre Ríos a disponer de los intereses generados por los fondos existentes en cuentas judiciales de aquellos expedientes concluidos o paralizados</w:t>
      </w:r>
      <w:r>
        <w:rPr>
          <w:bCs/>
        </w:rPr>
        <w:t>, c</w:t>
      </w:r>
      <w:proofErr w:type="spellStart"/>
      <w:r>
        <w:rPr>
          <w:bCs/>
          <w:lang w:val="es-AR"/>
        </w:rPr>
        <w:t>uyo</w:t>
      </w:r>
      <w:proofErr w:type="spellEnd"/>
      <w:r>
        <w:rPr>
          <w:bCs/>
          <w:lang w:val="es-AR"/>
        </w:rPr>
        <w:t xml:space="preserve"> texto fuera aprobado en </w:t>
      </w:r>
      <w:r w:rsidR="009B49B0">
        <w:rPr>
          <w:bCs/>
          <w:lang w:val="es-AR"/>
        </w:rPr>
        <w:t xml:space="preserve">la </w:t>
      </w:r>
      <w:r>
        <w:rPr>
          <w:bCs/>
          <w:lang w:val="es-AR"/>
        </w:rPr>
        <w:t xml:space="preserve">reunión de Comisión realizada el día </w:t>
      </w:r>
      <w:r w:rsidR="00562F3F">
        <w:rPr>
          <w:bCs/>
          <w:lang w:val="es-AR"/>
        </w:rPr>
        <w:t>0</w:t>
      </w:r>
      <w:r w:rsidR="004C5D0E">
        <w:rPr>
          <w:bCs/>
          <w:lang w:val="es-AR"/>
        </w:rPr>
        <w:t>3</w:t>
      </w:r>
      <w:r w:rsidR="00562F3F">
        <w:rPr>
          <w:bCs/>
          <w:lang w:val="es-AR"/>
        </w:rPr>
        <w:t xml:space="preserve"> de Diciembre</w:t>
      </w:r>
      <w:r>
        <w:rPr>
          <w:bCs/>
          <w:lang w:val="es-AR"/>
        </w:rPr>
        <w:t xml:space="preserve"> de 2020, en la modalidad establecida por la Resolución Nº 026 HCS -141º Período Legislativo -No Presencial-, </w:t>
      </w:r>
      <w:r w:rsidR="0069505A">
        <w:rPr>
          <w:bCs/>
          <w:lang w:val="es-AR"/>
        </w:rPr>
        <w:t xml:space="preserve">y ante la imposibilidad de rubricar personalmente el presente dictamen, el Secretario Adjunto de Comisiones Dr. José Francisco </w:t>
      </w:r>
      <w:proofErr w:type="spellStart"/>
      <w:r w:rsidR="0069505A">
        <w:rPr>
          <w:bCs/>
          <w:lang w:val="es-AR"/>
        </w:rPr>
        <w:t>Umedez</w:t>
      </w:r>
      <w:proofErr w:type="spellEnd"/>
      <w:r w:rsidR="0069505A">
        <w:rPr>
          <w:bCs/>
          <w:lang w:val="es-AR"/>
        </w:rPr>
        <w:t>, da fe de la adhesión de los integrantes de la Comisión en cantidad suficiente para alcanzar la Mayoría que avala el presente texto normativo y, por las razones que dará su miembro informante</w:t>
      </w:r>
      <w:r>
        <w:rPr>
          <w:bCs/>
          <w:lang w:val="es-AR"/>
        </w:rPr>
        <w:t xml:space="preserve">, aconseja su aprobación en los términos </w:t>
      </w:r>
      <w:r w:rsidR="00E2279A">
        <w:rPr>
          <w:bCs/>
          <w:lang w:val="es-AR"/>
        </w:rPr>
        <w:t>remitidos</w:t>
      </w:r>
      <w:r>
        <w:rPr>
          <w:bCs/>
          <w:lang w:val="es-AR"/>
        </w:rPr>
        <w:t xml:space="preserve">. </w:t>
      </w:r>
    </w:p>
    <w:p w:rsidR="00004E11" w:rsidRDefault="00004E11" w:rsidP="00905AAD">
      <w:pPr>
        <w:spacing w:line="360" w:lineRule="auto"/>
        <w:ind w:left="62"/>
        <w:jc w:val="both"/>
        <w:rPr>
          <w:bCs/>
        </w:rPr>
      </w:pPr>
    </w:p>
    <w:p w:rsidR="00FD0D3F" w:rsidRPr="00FD0D3F" w:rsidRDefault="00FD0D3F" w:rsidP="00905AAD">
      <w:pPr>
        <w:spacing w:line="360" w:lineRule="auto"/>
        <w:jc w:val="center"/>
        <w:rPr>
          <w:b/>
        </w:rPr>
      </w:pPr>
      <w:r w:rsidRPr="00FD0D3F">
        <w:rPr>
          <w:b/>
        </w:rPr>
        <w:t>LA LEGISLATURA DE LA PROVINCIA DE ENTRE RÍOS</w:t>
      </w:r>
    </w:p>
    <w:p w:rsidR="00FD0D3F" w:rsidRPr="00FD0D3F" w:rsidRDefault="00FD0D3F" w:rsidP="00905AAD">
      <w:pPr>
        <w:spacing w:line="360" w:lineRule="auto"/>
        <w:jc w:val="center"/>
        <w:rPr>
          <w:b/>
        </w:rPr>
      </w:pPr>
      <w:r w:rsidRPr="00FD0D3F">
        <w:rPr>
          <w:b/>
        </w:rPr>
        <w:t>SANCIONA CON FUERZA DE</w:t>
      </w:r>
    </w:p>
    <w:p w:rsidR="00FD0D3F" w:rsidRPr="00FD0D3F" w:rsidRDefault="00FD0D3F" w:rsidP="00905AAD">
      <w:pPr>
        <w:spacing w:line="360" w:lineRule="auto"/>
        <w:jc w:val="center"/>
        <w:rPr>
          <w:b/>
        </w:rPr>
      </w:pPr>
      <w:r w:rsidRPr="00FD0D3F">
        <w:rPr>
          <w:b/>
        </w:rPr>
        <w:t>LEY</w:t>
      </w:r>
    </w:p>
    <w:p w:rsidR="00FD0D3F" w:rsidRPr="00CC77F1" w:rsidRDefault="00FD0D3F" w:rsidP="00905AAD">
      <w:pPr>
        <w:spacing w:line="360" w:lineRule="auto"/>
        <w:jc w:val="both"/>
      </w:pPr>
    </w:p>
    <w:p w:rsidR="005D7B6C" w:rsidRDefault="00FD0D3F" w:rsidP="00905AAD">
      <w:pPr>
        <w:spacing w:line="360" w:lineRule="auto"/>
        <w:jc w:val="both"/>
      </w:pPr>
      <w:r w:rsidRPr="00FD0D3F">
        <w:rPr>
          <w:b/>
        </w:rPr>
        <w:t>ARTÍCULO 1º</w:t>
      </w:r>
      <w:r w:rsidR="00905AAD">
        <w:t>:</w:t>
      </w:r>
      <w:r w:rsidR="0069505A" w:rsidRPr="0069505A">
        <w:t xml:space="preserve"> Autorícese al Superior Tribunal de Justicia de Entre Ríos a disponer de los intereses generados por los fondos existentes en cuentas judiciales de aquellos expedientes concluidos o paralizados y, que estando en condiciones de ser requeridos por quien tiene el derecho a los mismos, no fueron solicitados para su percepción en el plazo de tres (3) años.- </w:t>
      </w:r>
    </w:p>
    <w:p w:rsidR="005D7B6C" w:rsidRDefault="005D7B6C" w:rsidP="00905AAD">
      <w:pPr>
        <w:spacing w:line="360" w:lineRule="auto"/>
        <w:jc w:val="both"/>
      </w:pPr>
      <w:r w:rsidRPr="005D7B6C">
        <w:rPr>
          <w:b/>
        </w:rPr>
        <w:t>ARTÍCULO 2 º:</w:t>
      </w:r>
      <w:r>
        <w:t xml:space="preserve"> </w:t>
      </w:r>
      <w:r w:rsidR="0069505A" w:rsidRPr="0069505A">
        <w:t xml:space="preserve">Establécese que estos fondos por intereses pasarán a una Cuenta Especial a la orden del Superior Tribunal de Justicia y serán destinados a financiar la ejecución del plan de obras públicas, la adquisición de bienes de uso, la aplicación de nuevas tecnologías y a la ejecución de políticas sobre cuestiones de </w:t>
      </w:r>
      <w:r w:rsidRPr="0069505A">
        <w:t>género</w:t>
      </w:r>
      <w:r w:rsidR="0069505A" w:rsidRPr="0069505A">
        <w:t xml:space="preserve"> u otros destinos que el Superior Tribunal de Justicia determine.-</w:t>
      </w:r>
    </w:p>
    <w:p w:rsidR="005D7B6C" w:rsidRDefault="0069505A" w:rsidP="00905AAD">
      <w:pPr>
        <w:spacing w:line="360" w:lineRule="auto"/>
        <w:jc w:val="both"/>
      </w:pPr>
      <w:r w:rsidRPr="0069505A">
        <w:t xml:space="preserve"> </w:t>
      </w:r>
      <w:r w:rsidRPr="005D7B6C">
        <w:rPr>
          <w:b/>
        </w:rPr>
        <w:t>ARTÍCULO 3 º</w:t>
      </w:r>
      <w:r w:rsidR="005D7B6C" w:rsidRPr="005D7B6C">
        <w:rPr>
          <w:b/>
        </w:rPr>
        <w:t>:</w:t>
      </w:r>
      <w:r w:rsidRPr="0069505A">
        <w:t xml:space="preserve"> El Superior Tribunal de Justicia deberá mantener en reserva, al menos, un diez por ciento (10%) de los fondos existentes en cuentas judiciales, neto de </w:t>
      </w:r>
      <w:r w:rsidRPr="0069505A">
        <w:lastRenderedPageBreak/>
        <w:t xml:space="preserve">reactivaciones, de aquellos expedientes concluidos o paralizados, a los efectos afrontar eventuales solicitudes de devolución. En caso de que dicho porcentaje resultare ocasionalmente insuficiente se autoriza a realizar los refuerzos o readecuaciones presupuestarias para asegurar el cumplimiento.- </w:t>
      </w:r>
    </w:p>
    <w:p w:rsidR="005D7B6C" w:rsidRDefault="005D7B6C" w:rsidP="00905AAD">
      <w:pPr>
        <w:spacing w:line="360" w:lineRule="auto"/>
        <w:jc w:val="both"/>
      </w:pPr>
      <w:r w:rsidRPr="005D7B6C">
        <w:rPr>
          <w:b/>
        </w:rPr>
        <w:t>ARTÍCULO 4 º:</w:t>
      </w:r>
      <w:r w:rsidR="0069505A" w:rsidRPr="0069505A">
        <w:t xml:space="preserve"> Facúltese al Superior Tribunal a realizar imposiciones en caja de ahorro o depósitos a plazo fijo de los fondos del Artículo 1º.- </w:t>
      </w:r>
    </w:p>
    <w:p w:rsidR="005D7B6C" w:rsidRDefault="005D7B6C" w:rsidP="00905AAD">
      <w:pPr>
        <w:spacing w:line="360" w:lineRule="auto"/>
        <w:jc w:val="both"/>
      </w:pPr>
      <w:r w:rsidRPr="005D7B6C">
        <w:rPr>
          <w:b/>
        </w:rPr>
        <w:t>ARTÍCULO 5 º:</w:t>
      </w:r>
      <w:r w:rsidR="0069505A" w:rsidRPr="0069505A">
        <w:t xml:space="preserve"> Autorícese a los organismos competentes a efectuar las modificaciones o adecuaciones presupuestarias para la incorporación de los recursos al presupuesto del Poder Judicial.-</w:t>
      </w:r>
      <w:r w:rsidR="00905AAD">
        <w:t xml:space="preserve"> </w:t>
      </w:r>
    </w:p>
    <w:p w:rsidR="00FD0D3F" w:rsidRPr="00CC77F1" w:rsidRDefault="005D7B6C" w:rsidP="00905AAD">
      <w:pPr>
        <w:spacing w:line="360" w:lineRule="auto"/>
        <w:jc w:val="both"/>
      </w:pPr>
      <w:r>
        <w:rPr>
          <w:b/>
        </w:rPr>
        <w:t>ARTICULO 6</w:t>
      </w:r>
      <w:r w:rsidR="00905AAD">
        <w:rPr>
          <w:b/>
        </w:rPr>
        <w:t>°:</w:t>
      </w:r>
      <w:r w:rsidR="00FD0D3F" w:rsidRPr="00CC77F1">
        <w:t xml:space="preserve"> </w:t>
      </w:r>
      <w:r>
        <w:t>De forma</w:t>
      </w:r>
      <w:r w:rsidR="00FD0D3F" w:rsidRPr="00CC77F1">
        <w:t>.-</w:t>
      </w:r>
    </w:p>
    <w:p w:rsidR="00004E11" w:rsidRDefault="00004E11" w:rsidP="00905AAD">
      <w:pPr>
        <w:spacing w:line="360" w:lineRule="auto"/>
        <w:ind w:left="62"/>
        <w:jc w:val="both"/>
        <w:rPr>
          <w:bCs/>
        </w:rPr>
      </w:pPr>
    </w:p>
    <w:p w:rsidR="00004E11" w:rsidRDefault="00004E11" w:rsidP="00905AAD">
      <w:pPr>
        <w:pStyle w:val="Prrafodelista"/>
        <w:numPr>
          <w:ilvl w:val="0"/>
          <w:numId w:val="1"/>
        </w:numPr>
        <w:spacing w:line="360" w:lineRule="auto"/>
        <w:jc w:val="both"/>
        <w:rPr>
          <w:b/>
          <w:bCs/>
          <w:lang w:val="es-ES_tradnl"/>
        </w:rPr>
      </w:pPr>
      <w:r>
        <w:rPr>
          <w:b/>
          <w:bCs/>
          <w:lang w:val="es-ES_tradnl"/>
        </w:rPr>
        <w:t xml:space="preserve">                                           PARANÁ, Sala de Comisiones, </w:t>
      </w:r>
      <w:r w:rsidR="004C5D0E">
        <w:rPr>
          <w:b/>
          <w:bCs/>
          <w:lang w:val="es-ES_tradnl"/>
        </w:rPr>
        <w:t>03</w:t>
      </w:r>
      <w:r w:rsidR="0069505A">
        <w:rPr>
          <w:b/>
          <w:bCs/>
          <w:lang w:val="es-ES_tradnl"/>
        </w:rPr>
        <w:t xml:space="preserve"> de Diciembre</w:t>
      </w:r>
      <w:r>
        <w:rPr>
          <w:b/>
          <w:bCs/>
          <w:lang w:val="es-ES_tradnl"/>
        </w:rPr>
        <w:t xml:space="preserve"> de 2020</w:t>
      </w:r>
    </w:p>
    <w:p w:rsidR="00004E11" w:rsidRDefault="00004E11" w:rsidP="00905AAD">
      <w:pPr>
        <w:autoSpaceDE w:val="0"/>
        <w:spacing w:line="360" w:lineRule="auto"/>
        <w:jc w:val="both"/>
        <w:rPr>
          <w:color w:val="000000"/>
          <w:lang w:val="es-AR"/>
        </w:rPr>
      </w:pPr>
    </w:p>
    <w:p w:rsidR="000431F1" w:rsidRDefault="000431F1" w:rsidP="00905AAD">
      <w:pPr>
        <w:autoSpaceDE w:val="0"/>
        <w:spacing w:line="360" w:lineRule="auto"/>
        <w:jc w:val="both"/>
        <w:rPr>
          <w:b/>
          <w:color w:val="000000"/>
          <w:lang w:val="es-AR"/>
        </w:rPr>
      </w:pPr>
    </w:p>
    <w:p w:rsidR="005D7B6C" w:rsidRPr="00532BCD" w:rsidRDefault="00FD0D3F" w:rsidP="00905AAD">
      <w:pPr>
        <w:autoSpaceDE w:val="0"/>
        <w:spacing w:line="360" w:lineRule="auto"/>
        <w:jc w:val="both"/>
        <w:rPr>
          <w:color w:val="000000"/>
          <w:lang w:val="es-AR"/>
        </w:rPr>
      </w:pPr>
      <w:proofErr w:type="spellStart"/>
      <w:r w:rsidRPr="00532BCD">
        <w:rPr>
          <w:b/>
          <w:color w:val="000000"/>
          <w:lang w:val="es-AR"/>
        </w:rPr>
        <w:t>GENRE</w:t>
      </w:r>
      <w:proofErr w:type="spellEnd"/>
      <w:r w:rsidRPr="00532BCD">
        <w:rPr>
          <w:b/>
          <w:color w:val="000000"/>
          <w:lang w:val="es-AR"/>
        </w:rPr>
        <w:t xml:space="preserve"> </w:t>
      </w:r>
      <w:proofErr w:type="spellStart"/>
      <w:r w:rsidRPr="00532BCD">
        <w:rPr>
          <w:b/>
          <w:color w:val="000000"/>
          <w:lang w:val="es-AR"/>
        </w:rPr>
        <w:t>BERT</w:t>
      </w:r>
      <w:proofErr w:type="spellEnd"/>
      <w:r w:rsidRPr="00532BCD">
        <w:rPr>
          <w:color w:val="000000"/>
          <w:lang w:val="es-AR"/>
        </w:rPr>
        <w:t xml:space="preserve">, </w:t>
      </w:r>
      <w:proofErr w:type="spellStart"/>
      <w:r w:rsidRPr="00532BCD">
        <w:rPr>
          <w:color w:val="000000"/>
          <w:lang w:val="es-AR"/>
        </w:rPr>
        <w:t>Amilcar</w:t>
      </w:r>
      <w:proofErr w:type="spellEnd"/>
      <w:r w:rsidRPr="00532BCD">
        <w:rPr>
          <w:color w:val="000000"/>
          <w:lang w:val="es-AR"/>
        </w:rPr>
        <w:t xml:space="preserve"> René                              </w:t>
      </w:r>
      <w:r w:rsidR="005D7B6C" w:rsidRPr="00532BCD">
        <w:rPr>
          <w:b/>
          <w:color w:val="000000"/>
          <w:lang w:val="es-AR"/>
        </w:rPr>
        <w:t>FUERTES,</w:t>
      </w:r>
      <w:r w:rsidR="005D7B6C" w:rsidRPr="00532BCD">
        <w:rPr>
          <w:color w:val="000000"/>
          <w:lang w:val="es-AR"/>
        </w:rPr>
        <w:t xml:space="preserve"> Adrián Federico</w:t>
      </w:r>
    </w:p>
    <w:p w:rsidR="005D7B6C" w:rsidRPr="00532BCD" w:rsidRDefault="005D7B6C" w:rsidP="00905AAD">
      <w:pPr>
        <w:autoSpaceDE w:val="0"/>
        <w:spacing w:line="360" w:lineRule="auto"/>
        <w:jc w:val="both"/>
        <w:rPr>
          <w:color w:val="000000"/>
          <w:lang w:val="es-AR"/>
        </w:rPr>
      </w:pPr>
    </w:p>
    <w:p w:rsidR="005D7B6C" w:rsidRPr="00532BCD" w:rsidRDefault="005D7B6C" w:rsidP="00905AAD">
      <w:pPr>
        <w:autoSpaceDE w:val="0"/>
        <w:spacing w:line="360" w:lineRule="auto"/>
        <w:jc w:val="both"/>
        <w:rPr>
          <w:color w:val="000000"/>
          <w:lang w:val="es-AR"/>
        </w:rPr>
      </w:pPr>
      <w:r w:rsidRPr="00532BCD">
        <w:rPr>
          <w:b/>
          <w:color w:val="000000"/>
          <w:lang w:val="es-AR"/>
        </w:rPr>
        <w:t>DAL MOLIN,</w:t>
      </w:r>
      <w:r w:rsidRPr="00532BCD">
        <w:rPr>
          <w:color w:val="000000"/>
          <w:lang w:val="es-AR"/>
        </w:rPr>
        <w:t xml:space="preserve"> Rubén Alberto </w:t>
      </w:r>
      <w:r w:rsidR="00532BCD" w:rsidRPr="00532BCD">
        <w:rPr>
          <w:color w:val="000000"/>
          <w:lang w:val="es-AR"/>
        </w:rPr>
        <w:t xml:space="preserve">                               </w:t>
      </w:r>
      <w:r w:rsidRPr="00532BCD">
        <w:rPr>
          <w:b/>
          <w:color w:val="000000"/>
          <w:lang w:val="es-AR"/>
        </w:rPr>
        <w:t>SANTA CRUZ,</w:t>
      </w:r>
      <w:r w:rsidRPr="00532BCD">
        <w:rPr>
          <w:color w:val="000000"/>
          <w:lang w:val="es-AR"/>
        </w:rPr>
        <w:t xml:space="preserve"> Mauricio Javier</w:t>
      </w:r>
    </w:p>
    <w:p w:rsidR="00532BCD" w:rsidRPr="00532BCD" w:rsidRDefault="00532BCD" w:rsidP="00905AAD">
      <w:pPr>
        <w:autoSpaceDE w:val="0"/>
        <w:spacing w:line="360" w:lineRule="auto"/>
        <w:jc w:val="both"/>
        <w:rPr>
          <w:color w:val="000000"/>
          <w:lang w:val="es-AR"/>
        </w:rPr>
      </w:pPr>
    </w:p>
    <w:p w:rsidR="00532BCD" w:rsidRPr="00532BCD" w:rsidRDefault="00532BCD" w:rsidP="00532BCD">
      <w:pPr>
        <w:autoSpaceDE w:val="0"/>
        <w:spacing w:line="360" w:lineRule="auto"/>
        <w:jc w:val="both"/>
        <w:rPr>
          <w:color w:val="000000"/>
          <w:lang w:val="es-AR"/>
        </w:rPr>
      </w:pPr>
      <w:r w:rsidRPr="00532BCD">
        <w:rPr>
          <w:b/>
          <w:color w:val="000000"/>
          <w:lang w:val="es-AR"/>
        </w:rPr>
        <w:t>MORCHIO,</w:t>
      </w:r>
      <w:r w:rsidRPr="00532BCD">
        <w:rPr>
          <w:color w:val="000000"/>
          <w:lang w:val="es-AR"/>
        </w:rPr>
        <w:t xml:space="preserve"> Francisco Alejandro                          </w:t>
      </w:r>
      <w:r w:rsidRPr="00532BCD">
        <w:rPr>
          <w:b/>
          <w:color w:val="000000"/>
          <w:lang w:val="es-AR"/>
        </w:rPr>
        <w:t>GIECO</w:t>
      </w:r>
      <w:r w:rsidRPr="00532BCD">
        <w:rPr>
          <w:color w:val="000000"/>
          <w:lang w:val="es-AR"/>
        </w:rPr>
        <w:t xml:space="preserve">, Claudia Ester </w:t>
      </w:r>
    </w:p>
    <w:p w:rsidR="00FD0D3F" w:rsidRPr="00532BCD" w:rsidRDefault="00FD0D3F" w:rsidP="00905AAD">
      <w:pPr>
        <w:autoSpaceDE w:val="0"/>
        <w:spacing w:line="360" w:lineRule="auto"/>
        <w:jc w:val="both"/>
        <w:rPr>
          <w:color w:val="000000"/>
          <w:lang w:val="es-AR"/>
        </w:rPr>
      </w:pPr>
      <w:r w:rsidRPr="00532BCD">
        <w:rPr>
          <w:color w:val="000000"/>
          <w:lang w:val="es-AR"/>
        </w:rPr>
        <w:t xml:space="preserve">                               </w:t>
      </w:r>
    </w:p>
    <w:p w:rsidR="000431F1" w:rsidRPr="00532BCD" w:rsidRDefault="00532BCD" w:rsidP="00905AAD">
      <w:pPr>
        <w:autoSpaceDE w:val="0"/>
        <w:spacing w:line="360" w:lineRule="auto"/>
        <w:jc w:val="both"/>
        <w:rPr>
          <w:bCs/>
          <w:lang w:val="es-AR"/>
        </w:rPr>
      </w:pPr>
      <w:r w:rsidRPr="00532BCD">
        <w:rPr>
          <w:b/>
          <w:bCs/>
          <w:lang w:val="es-AR"/>
        </w:rPr>
        <w:t>BAGNAT</w:t>
      </w:r>
      <w:r w:rsidR="000431F1" w:rsidRPr="00532BCD">
        <w:rPr>
          <w:b/>
          <w:bCs/>
          <w:lang w:val="es-AR"/>
        </w:rPr>
        <w:t>,</w:t>
      </w:r>
      <w:r w:rsidRPr="00532BCD">
        <w:rPr>
          <w:bCs/>
          <w:lang w:val="es-AR"/>
        </w:rPr>
        <w:t xml:space="preserve"> Gastón             </w:t>
      </w:r>
      <w:r w:rsidR="000431F1" w:rsidRPr="00532BCD">
        <w:rPr>
          <w:bCs/>
          <w:lang w:val="es-AR"/>
        </w:rPr>
        <w:t xml:space="preserve">                                       </w:t>
      </w:r>
      <w:r w:rsidRPr="00532BCD">
        <w:rPr>
          <w:b/>
          <w:bCs/>
          <w:lang w:val="es-AR"/>
        </w:rPr>
        <w:t>OLANO</w:t>
      </w:r>
      <w:r w:rsidR="000431F1" w:rsidRPr="00532BCD">
        <w:rPr>
          <w:b/>
          <w:bCs/>
          <w:lang w:val="es-AR"/>
        </w:rPr>
        <w:t xml:space="preserve">, </w:t>
      </w:r>
      <w:r w:rsidRPr="00532BCD">
        <w:rPr>
          <w:bCs/>
          <w:lang w:val="es-AR"/>
        </w:rPr>
        <w:t>Daniel Horacio</w:t>
      </w:r>
    </w:p>
    <w:p w:rsidR="000431F1" w:rsidRPr="00532BCD" w:rsidRDefault="000431F1" w:rsidP="00905AAD">
      <w:pPr>
        <w:autoSpaceDE w:val="0"/>
        <w:spacing w:line="360" w:lineRule="auto"/>
        <w:jc w:val="both"/>
        <w:rPr>
          <w:b/>
          <w:bCs/>
          <w:lang w:val="es-AR"/>
        </w:rPr>
      </w:pPr>
    </w:p>
    <w:p w:rsidR="00FD0D3F" w:rsidRPr="000431F1" w:rsidRDefault="00532BCD" w:rsidP="00905AAD">
      <w:pPr>
        <w:autoSpaceDE w:val="0"/>
        <w:spacing w:line="360" w:lineRule="auto"/>
        <w:jc w:val="both"/>
        <w:rPr>
          <w:b/>
          <w:color w:val="000000"/>
          <w:lang w:val="es-AR"/>
        </w:rPr>
      </w:pPr>
      <w:r w:rsidRPr="00532BCD">
        <w:rPr>
          <w:b/>
          <w:bCs/>
          <w:lang w:val="es-AR"/>
        </w:rPr>
        <w:t>MAIDANA</w:t>
      </w:r>
      <w:r w:rsidR="000431F1" w:rsidRPr="00532BCD">
        <w:rPr>
          <w:b/>
          <w:color w:val="000000"/>
          <w:lang w:val="es-AR"/>
        </w:rPr>
        <w:t xml:space="preserve">, </w:t>
      </w:r>
      <w:r w:rsidRPr="00532BCD">
        <w:rPr>
          <w:color w:val="000000"/>
          <w:lang w:val="es-AR"/>
        </w:rPr>
        <w:t>F</w:t>
      </w:r>
      <w:r>
        <w:rPr>
          <w:color w:val="000000"/>
          <w:lang w:val="es-AR"/>
        </w:rPr>
        <w:t>lavia Gisela</w:t>
      </w:r>
      <w:r w:rsidR="00004E11" w:rsidRPr="000431F1">
        <w:rPr>
          <w:b/>
          <w:color w:val="000000"/>
          <w:lang w:val="es-AR"/>
        </w:rPr>
        <w:tab/>
      </w:r>
      <w:r w:rsidR="00004E11" w:rsidRPr="000431F1">
        <w:rPr>
          <w:b/>
          <w:color w:val="000000"/>
          <w:lang w:val="es-AR"/>
        </w:rPr>
        <w:tab/>
      </w:r>
      <w:r w:rsidR="00004E11" w:rsidRPr="000431F1">
        <w:rPr>
          <w:b/>
          <w:color w:val="000000"/>
          <w:lang w:val="es-AR"/>
        </w:rPr>
        <w:tab/>
        <w:t xml:space="preserve">            </w:t>
      </w:r>
    </w:p>
    <w:p w:rsidR="00004E11" w:rsidRDefault="00004E11" w:rsidP="00905AAD">
      <w:pPr>
        <w:autoSpaceDE w:val="0"/>
        <w:spacing w:line="360" w:lineRule="auto"/>
        <w:jc w:val="both"/>
        <w:rPr>
          <w:color w:val="000000"/>
          <w:lang w:val="es-AR"/>
        </w:rPr>
      </w:pPr>
    </w:p>
    <w:p w:rsidR="005D059D" w:rsidRDefault="00004E11" w:rsidP="00905AAD">
      <w:pPr>
        <w:spacing w:line="360" w:lineRule="auto"/>
        <w:jc w:val="both"/>
      </w:pPr>
      <w:r>
        <w:rPr>
          <w:color w:val="000000"/>
          <w:lang w:val="es-AR"/>
        </w:rPr>
        <w:t xml:space="preserve">En mi carácter de Secretario Adjunto de Comisiones de la Honorable Cámara de Senadores de la Provincia de Entre Ríos, DOY FE que el texto que antecede ha sido consensuado y aprobado en reunión de la Comisión de </w:t>
      </w:r>
      <w:r w:rsidR="00905AAD">
        <w:rPr>
          <w:color w:val="000000"/>
          <w:lang w:val="es-AR"/>
        </w:rPr>
        <w:t>Presupuesto y Hacienda</w:t>
      </w:r>
      <w:r>
        <w:rPr>
          <w:color w:val="000000"/>
          <w:lang w:val="es-AR"/>
        </w:rPr>
        <w:t xml:space="preserve"> realizada el día </w:t>
      </w:r>
      <w:r w:rsidR="0069505A">
        <w:rPr>
          <w:color w:val="000000"/>
          <w:lang w:val="es-AR"/>
        </w:rPr>
        <w:t>0</w:t>
      </w:r>
      <w:r w:rsidR="004C5D0E">
        <w:rPr>
          <w:color w:val="000000"/>
          <w:lang w:val="es-AR"/>
        </w:rPr>
        <w:t>3</w:t>
      </w:r>
      <w:r>
        <w:rPr>
          <w:color w:val="000000"/>
          <w:lang w:val="es-AR"/>
        </w:rPr>
        <w:t xml:space="preserve"> de</w:t>
      </w:r>
      <w:r w:rsidR="0069505A">
        <w:rPr>
          <w:color w:val="000000"/>
          <w:lang w:val="es-AR"/>
        </w:rPr>
        <w:t xml:space="preserve"> Diciembre</w:t>
      </w:r>
      <w:r>
        <w:rPr>
          <w:color w:val="000000"/>
          <w:lang w:val="es-AR"/>
        </w:rPr>
        <w:t xml:space="preserve"> de 2020, contando con el asentimiento de los </w:t>
      </w:r>
      <w:r w:rsidRPr="00D1670B">
        <w:rPr>
          <w:color w:val="000000"/>
          <w:lang w:val="es-AR"/>
        </w:rPr>
        <w:t xml:space="preserve">Señores Senadores/as </w:t>
      </w:r>
      <w:r w:rsidR="000431F1" w:rsidRPr="00D1670B">
        <w:rPr>
          <w:bCs/>
          <w:lang w:val="es-AR"/>
        </w:rPr>
        <w:t xml:space="preserve">GENRE BERT,  </w:t>
      </w:r>
      <w:r w:rsidR="00D1670B" w:rsidRPr="00D1670B">
        <w:rPr>
          <w:bCs/>
          <w:lang w:val="es-AR"/>
        </w:rPr>
        <w:t xml:space="preserve">FUERTES, DAL MOLÍN, </w:t>
      </w:r>
      <w:r w:rsidR="000431F1" w:rsidRPr="00D1670B">
        <w:rPr>
          <w:bCs/>
          <w:lang w:val="es-AR"/>
        </w:rPr>
        <w:t>SANTA</w:t>
      </w:r>
      <w:r w:rsidR="00D1670B" w:rsidRPr="00D1670B">
        <w:rPr>
          <w:bCs/>
          <w:lang w:val="es-AR"/>
        </w:rPr>
        <w:t xml:space="preserve"> CRUZ, MORCHIO, GIECO, BAGNAT, OLANO Y MAIDANA.-</w:t>
      </w:r>
    </w:p>
    <w:sectPr w:rsidR="005D059D" w:rsidSect="001F07F5">
      <w:pgSz w:w="11906" w:h="16838" w:code="9"/>
      <w:pgMar w:top="3119" w:right="851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E11"/>
    <w:rsid w:val="00004E11"/>
    <w:rsid w:val="000431F1"/>
    <w:rsid w:val="001F07F5"/>
    <w:rsid w:val="00262144"/>
    <w:rsid w:val="004C5D0E"/>
    <w:rsid w:val="00532BCD"/>
    <w:rsid w:val="00562F3F"/>
    <w:rsid w:val="005D059D"/>
    <w:rsid w:val="005D7B6C"/>
    <w:rsid w:val="0069505A"/>
    <w:rsid w:val="00730EE2"/>
    <w:rsid w:val="007F0661"/>
    <w:rsid w:val="0090325D"/>
    <w:rsid w:val="00905AAD"/>
    <w:rsid w:val="0091563B"/>
    <w:rsid w:val="00972F07"/>
    <w:rsid w:val="009B49B0"/>
    <w:rsid w:val="00A1650C"/>
    <w:rsid w:val="00C019B1"/>
    <w:rsid w:val="00D1670B"/>
    <w:rsid w:val="00E2279A"/>
    <w:rsid w:val="00E279A2"/>
    <w:rsid w:val="00F21C73"/>
    <w:rsid w:val="00FD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5901B-C066-4C01-9CC5-59013CC1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E11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4E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431F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31F1"/>
    <w:rPr>
      <w:rFonts w:ascii="Segoe UI" w:eastAsia="SimSun" w:hAnsi="Segoe UI" w:cs="Segoe UI"/>
      <w:kern w:val="2"/>
      <w:sz w:val="18"/>
      <w:szCs w:val="18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8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DE172-2A72-4004-BD3F-74402E362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2</cp:revision>
  <cp:lastPrinted>2020-08-13T14:21:00Z</cp:lastPrinted>
  <dcterms:created xsi:type="dcterms:W3CDTF">2020-12-11T12:25:00Z</dcterms:created>
  <dcterms:modified xsi:type="dcterms:W3CDTF">2020-12-11T12:25:00Z</dcterms:modified>
</cp:coreProperties>
</file>