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E11" w:rsidRPr="00E1755A" w:rsidRDefault="00004E11" w:rsidP="00905AAD">
      <w:pPr>
        <w:spacing w:line="360" w:lineRule="auto"/>
        <w:jc w:val="both"/>
        <w:rPr>
          <w:b/>
          <w:bCs/>
        </w:rPr>
      </w:pPr>
      <w:bookmarkStart w:id="0" w:name="_GoBack"/>
      <w:bookmarkEnd w:id="0"/>
      <w:r w:rsidRPr="00E1755A">
        <w:rPr>
          <w:b/>
          <w:bCs/>
          <w:lang w:val="es-AR"/>
        </w:rPr>
        <w:t>HONORABLE SENADO:</w:t>
      </w:r>
    </w:p>
    <w:p w:rsidR="00004E11" w:rsidRPr="00E1755A" w:rsidRDefault="00004E11" w:rsidP="00905AAD">
      <w:pPr>
        <w:spacing w:line="360" w:lineRule="auto"/>
        <w:ind w:left="62"/>
        <w:jc w:val="both"/>
        <w:rPr>
          <w:b/>
          <w:bCs/>
        </w:rPr>
      </w:pPr>
    </w:p>
    <w:p w:rsidR="00004E11" w:rsidRPr="00E1755A" w:rsidRDefault="00004E11" w:rsidP="000B2AEF">
      <w:pPr>
        <w:spacing w:line="360" w:lineRule="auto"/>
        <w:jc w:val="both"/>
        <w:rPr>
          <w:bCs/>
          <w:lang w:val="es-AR"/>
        </w:rPr>
      </w:pPr>
      <w:r w:rsidRPr="00E1755A">
        <w:rPr>
          <w:b/>
          <w:bCs/>
        </w:rPr>
        <w:t xml:space="preserve">                                           </w:t>
      </w:r>
      <w:r w:rsidRPr="00E1755A">
        <w:rPr>
          <w:bCs/>
        </w:rPr>
        <w:t xml:space="preserve">Vuestra </w:t>
      </w:r>
      <w:r w:rsidRPr="00E1755A">
        <w:rPr>
          <w:b/>
          <w:bCs/>
          <w:lang w:val="es-AR"/>
        </w:rPr>
        <w:t>Comisión de</w:t>
      </w:r>
      <w:r w:rsidR="0090325D" w:rsidRPr="00E1755A">
        <w:rPr>
          <w:b/>
          <w:bCs/>
          <w:lang w:val="es-AR"/>
        </w:rPr>
        <w:t xml:space="preserve"> Presupuesto y Hacienda</w:t>
      </w:r>
      <w:r w:rsidR="005D7B6C" w:rsidRPr="00E1755A">
        <w:rPr>
          <w:bCs/>
        </w:rPr>
        <w:t xml:space="preserve">, </w:t>
      </w:r>
      <w:r w:rsidRPr="00E1755A">
        <w:rPr>
          <w:bCs/>
        </w:rPr>
        <w:t xml:space="preserve">ha considerado el Proyecto de </w:t>
      </w:r>
      <w:r w:rsidR="0090325D" w:rsidRPr="00E1755A">
        <w:rPr>
          <w:bCs/>
        </w:rPr>
        <w:t xml:space="preserve">Ley </w:t>
      </w:r>
      <w:r w:rsidRPr="00E1755A">
        <w:rPr>
          <w:bCs/>
        </w:rPr>
        <w:t xml:space="preserve">contenido en el </w:t>
      </w:r>
      <w:r w:rsidRPr="00E1755A">
        <w:rPr>
          <w:b/>
          <w:bCs/>
        </w:rPr>
        <w:t>Expediente</w:t>
      </w:r>
      <w:r w:rsidRPr="00E1755A">
        <w:rPr>
          <w:bCs/>
        </w:rPr>
        <w:t xml:space="preserve"> </w:t>
      </w:r>
      <w:r w:rsidRPr="00E1755A">
        <w:rPr>
          <w:b/>
        </w:rPr>
        <w:t xml:space="preserve">Nº </w:t>
      </w:r>
      <w:r w:rsidR="00996159" w:rsidRPr="00E1755A">
        <w:rPr>
          <w:b/>
        </w:rPr>
        <w:t>13.877</w:t>
      </w:r>
      <w:r w:rsidRPr="00E1755A">
        <w:rPr>
          <w:b/>
        </w:rPr>
        <w:t xml:space="preserve"> </w:t>
      </w:r>
      <w:r w:rsidRPr="00E1755A">
        <w:rPr>
          <w:bCs/>
        </w:rPr>
        <w:t>de</w:t>
      </w:r>
      <w:r w:rsidR="00E2279A" w:rsidRPr="00E1755A">
        <w:rPr>
          <w:bCs/>
        </w:rPr>
        <w:t xml:space="preserve"> autoría de</w:t>
      </w:r>
      <w:r w:rsidR="0090325D" w:rsidRPr="00E1755A">
        <w:rPr>
          <w:bCs/>
        </w:rPr>
        <w:t>l</w:t>
      </w:r>
      <w:r w:rsidR="00E2279A" w:rsidRPr="00E1755A">
        <w:rPr>
          <w:bCs/>
        </w:rPr>
        <w:t xml:space="preserve"> </w:t>
      </w:r>
      <w:r w:rsidR="00996159" w:rsidRPr="00E1755A">
        <w:rPr>
          <w:bCs/>
        </w:rPr>
        <w:t>Poder Ejecutivo</w:t>
      </w:r>
      <w:r w:rsidR="000B045D" w:rsidRPr="00E1755A">
        <w:rPr>
          <w:bCs/>
        </w:rPr>
        <w:t xml:space="preserve"> por el que se </w:t>
      </w:r>
      <w:r w:rsidR="00996159" w:rsidRPr="00E1755A">
        <w:rPr>
          <w:bCs/>
        </w:rPr>
        <w:t>aprueba el Consenso Fiscal Suscripto el 4 de diciembre de 2020, por el Sr. Gobernador de la Provincia junto a otros gobernadores y gobernadoras, con el Sr.  Presidente de la Nación Argentina, que introduce modificaciones a los compromisos asumidos por el Estados Nacional, las Provincias y la CABA en los Consensos Fiscales celebrados en 2017, 2018 y 2019</w:t>
      </w:r>
      <w:r w:rsidRPr="00E1755A">
        <w:rPr>
          <w:bCs/>
        </w:rPr>
        <w:t>, c</w:t>
      </w:r>
      <w:proofErr w:type="spellStart"/>
      <w:r w:rsidRPr="00E1755A">
        <w:rPr>
          <w:bCs/>
          <w:lang w:val="es-AR"/>
        </w:rPr>
        <w:t>uyo</w:t>
      </w:r>
      <w:proofErr w:type="spellEnd"/>
      <w:r w:rsidRPr="00E1755A">
        <w:rPr>
          <w:bCs/>
          <w:lang w:val="es-AR"/>
        </w:rPr>
        <w:t xml:space="preserve"> texto fuera aprobado en </w:t>
      </w:r>
      <w:r w:rsidR="009B49B0" w:rsidRPr="00E1755A">
        <w:rPr>
          <w:bCs/>
          <w:lang w:val="es-AR"/>
        </w:rPr>
        <w:t xml:space="preserve">la </w:t>
      </w:r>
      <w:r w:rsidRPr="00E1755A">
        <w:rPr>
          <w:bCs/>
          <w:lang w:val="es-AR"/>
        </w:rPr>
        <w:t xml:space="preserve">reunión de Comisión realizada el día </w:t>
      </w:r>
      <w:r w:rsidR="00996159" w:rsidRPr="00E1755A">
        <w:rPr>
          <w:bCs/>
          <w:lang w:val="es-AR"/>
        </w:rPr>
        <w:t>14</w:t>
      </w:r>
      <w:r w:rsidR="00562F3F" w:rsidRPr="00E1755A">
        <w:rPr>
          <w:bCs/>
          <w:lang w:val="es-AR"/>
        </w:rPr>
        <w:t xml:space="preserve"> de Diciembre</w:t>
      </w:r>
      <w:r w:rsidRPr="00E1755A">
        <w:rPr>
          <w:bCs/>
          <w:lang w:val="es-AR"/>
        </w:rPr>
        <w:t xml:space="preserve"> de 2020, en la modalidad establecida por la Resolución Nº 026 HCS -</w:t>
      </w:r>
      <w:r w:rsidRPr="000B2AEF">
        <w:rPr>
          <w:bCs/>
          <w:lang w:val="es-AR"/>
        </w:rPr>
        <w:t xml:space="preserve">141º Período Legislativo -No Presencial-, </w:t>
      </w:r>
      <w:r w:rsidR="0069505A" w:rsidRPr="000B2AEF">
        <w:rPr>
          <w:bCs/>
          <w:lang w:val="es-AR"/>
        </w:rPr>
        <w:t xml:space="preserve">y ante la imposibilidad de rubricar personalmente el presente dictamen, el Secretario Adjunto de Comisiones Dr. José Francisco </w:t>
      </w:r>
      <w:proofErr w:type="spellStart"/>
      <w:r w:rsidR="0069505A" w:rsidRPr="000B2AEF">
        <w:rPr>
          <w:bCs/>
          <w:lang w:val="es-AR"/>
        </w:rPr>
        <w:t>Umedez</w:t>
      </w:r>
      <w:proofErr w:type="spellEnd"/>
      <w:r w:rsidR="0069505A" w:rsidRPr="000B2AEF">
        <w:rPr>
          <w:bCs/>
          <w:lang w:val="es-AR"/>
        </w:rPr>
        <w:t xml:space="preserve">, da fe de la adhesión de los integrantes de la Comisión en cantidad suficiente para alcanzar la </w:t>
      </w:r>
      <w:r w:rsidR="0069505A" w:rsidRPr="00761F24">
        <w:rPr>
          <w:bCs/>
          <w:lang w:val="es-AR"/>
        </w:rPr>
        <w:t>Mayoría</w:t>
      </w:r>
      <w:r w:rsidR="0069505A" w:rsidRPr="00761F24">
        <w:rPr>
          <w:b/>
          <w:bCs/>
          <w:lang w:val="es-AR"/>
        </w:rPr>
        <w:t xml:space="preserve"> </w:t>
      </w:r>
      <w:r w:rsidR="0069505A" w:rsidRPr="000B2AEF">
        <w:rPr>
          <w:bCs/>
          <w:lang w:val="es-AR"/>
        </w:rPr>
        <w:t>que avala el presente texto normativo y, por las razones que dará su miembro</w:t>
      </w:r>
      <w:r w:rsidR="0069505A" w:rsidRPr="00E1755A">
        <w:rPr>
          <w:bCs/>
          <w:lang w:val="es-AR"/>
        </w:rPr>
        <w:t xml:space="preserve"> informante</w:t>
      </w:r>
      <w:r w:rsidRPr="00E1755A">
        <w:rPr>
          <w:bCs/>
          <w:lang w:val="es-AR"/>
        </w:rPr>
        <w:t xml:space="preserve">, aconseja su aprobación en los términos </w:t>
      </w:r>
      <w:r w:rsidR="004F6449" w:rsidRPr="00E1755A">
        <w:rPr>
          <w:bCs/>
          <w:lang w:val="es-AR"/>
        </w:rPr>
        <w:t>presentados</w:t>
      </w:r>
      <w:r w:rsidRPr="00E1755A">
        <w:rPr>
          <w:bCs/>
          <w:lang w:val="es-AR"/>
        </w:rPr>
        <w:t xml:space="preserve">. </w:t>
      </w:r>
    </w:p>
    <w:p w:rsidR="00004E11" w:rsidRPr="00E1755A" w:rsidRDefault="00004E11" w:rsidP="00905AAD">
      <w:pPr>
        <w:spacing w:line="360" w:lineRule="auto"/>
        <w:ind w:left="62"/>
        <w:jc w:val="both"/>
        <w:rPr>
          <w:bCs/>
        </w:rPr>
      </w:pPr>
    </w:p>
    <w:p w:rsidR="00FD0D3F" w:rsidRPr="00E1755A" w:rsidRDefault="00FD0D3F" w:rsidP="00905AAD">
      <w:pPr>
        <w:spacing w:line="360" w:lineRule="auto"/>
        <w:jc w:val="center"/>
        <w:rPr>
          <w:b/>
        </w:rPr>
      </w:pPr>
      <w:r w:rsidRPr="00E1755A">
        <w:rPr>
          <w:b/>
        </w:rPr>
        <w:t>LA LEGISLATURA DE LA PROVINCIA DE ENTRE RÍOS</w:t>
      </w:r>
    </w:p>
    <w:p w:rsidR="00FD0D3F" w:rsidRPr="00E1755A" w:rsidRDefault="00FD0D3F" w:rsidP="00905AAD">
      <w:pPr>
        <w:spacing w:line="360" w:lineRule="auto"/>
        <w:jc w:val="center"/>
        <w:rPr>
          <w:b/>
        </w:rPr>
      </w:pPr>
      <w:r w:rsidRPr="00E1755A">
        <w:rPr>
          <w:b/>
        </w:rPr>
        <w:t>SANCIONA CON FUERZA DE</w:t>
      </w:r>
    </w:p>
    <w:p w:rsidR="00FD0D3F" w:rsidRPr="00E1755A" w:rsidRDefault="00FD0D3F" w:rsidP="00905AAD">
      <w:pPr>
        <w:spacing w:line="360" w:lineRule="auto"/>
        <w:jc w:val="center"/>
        <w:rPr>
          <w:b/>
        </w:rPr>
      </w:pPr>
      <w:r w:rsidRPr="00E1755A">
        <w:rPr>
          <w:b/>
        </w:rPr>
        <w:t>LEY</w:t>
      </w:r>
    </w:p>
    <w:p w:rsidR="00FD0D3F" w:rsidRPr="00E1755A" w:rsidRDefault="00FD0D3F" w:rsidP="00905AAD">
      <w:pPr>
        <w:spacing w:line="360" w:lineRule="auto"/>
        <w:jc w:val="both"/>
      </w:pPr>
    </w:p>
    <w:p w:rsidR="00996159" w:rsidRPr="004E491C" w:rsidRDefault="00996159" w:rsidP="004E491C">
      <w:pPr>
        <w:spacing w:line="360" w:lineRule="auto"/>
        <w:jc w:val="both"/>
        <w:rPr>
          <w:bCs/>
          <w:lang w:val="es-AR"/>
        </w:rPr>
      </w:pPr>
      <w:r w:rsidRPr="004E491C">
        <w:rPr>
          <w:bCs/>
          <w:lang w:val="es-AR"/>
        </w:rPr>
        <w:t xml:space="preserve">ARTÍCULO 1°: </w:t>
      </w:r>
      <w:proofErr w:type="spellStart"/>
      <w:r w:rsidRPr="004E491C">
        <w:rPr>
          <w:bCs/>
          <w:lang w:val="es-AR"/>
        </w:rPr>
        <w:t>Apruébase</w:t>
      </w:r>
      <w:proofErr w:type="spellEnd"/>
      <w:r w:rsidRPr="004E491C">
        <w:rPr>
          <w:bCs/>
          <w:lang w:val="es-AR"/>
        </w:rPr>
        <w:t xml:space="preserve"> el Consenso Fiscal celebrado el 4 de diciembre de 2020, por medio del cual se complementa y modifica el Consenso Fiscal celebrado el 16 de noviembre de 2017 y sus modificatorios el Consenso Fiscal de fecha 13 de septiembre de 2018, y el 17 de diciembre de 2019, y ratificase la gestión del Señor Gobernador de Entre Ríos de suscribir el mismo con el Poder Ejecutivo Nacional y representantes de las Provincias, que, como Anexo, forma parte integrante de esta Ley.</w:t>
      </w:r>
    </w:p>
    <w:p w:rsidR="00996159" w:rsidRPr="004E491C" w:rsidRDefault="00996159" w:rsidP="004E491C">
      <w:pPr>
        <w:widowControl/>
        <w:suppressAutoHyphens w:val="0"/>
        <w:spacing w:line="360" w:lineRule="auto"/>
        <w:ind w:left="1440"/>
        <w:jc w:val="both"/>
        <w:rPr>
          <w:bCs/>
          <w:lang w:val="es-AR"/>
        </w:rPr>
      </w:pPr>
    </w:p>
    <w:p w:rsidR="00996159" w:rsidRPr="004E491C" w:rsidRDefault="00996159" w:rsidP="004E491C">
      <w:pPr>
        <w:widowControl/>
        <w:suppressAutoHyphens w:val="0"/>
        <w:spacing w:line="360" w:lineRule="auto"/>
        <w:jc w:val="both"/>
        <w:rPr>
          <w:bCs/>
        </w:rPr>
      </w:pPr>
      <w:r w:rsidRPr="004E491C">
        <w:rPr>
          <w:bCs/>
        </w:rPr>
        <w:t>ARTÍCULO 2°: Sustitúyase el Artículo 8° de la Ley N° 9622 y modificatorias (T.O. 2018) por el siguiente:</w:t>
      </w:r>
    </w:p>
    <w:p w:rsidR="00996159" w:rsidRPr="004E491C" w:rsidRDefault="00996159" w:rsidP="004E491C">
      <w:pPr>
        <w:widowControl/>
        <w:suppressAutoHyphens w:val="0"/>
        <w:spacing w:line="360" w:lineRule="auto"/>
        <w:ind w:left="720" w:firstLine="720"/>
        <w:jc w:val="both"/>
        <w:rPr>
          <w:bCs/>
        </w:rPr>
      </w:pPr>
      <w:r w:rsidRPr="004E491C">
        <w:rPr>
          <w:bCs/>
        </w:rPr>
        <w:lastRenderedPageBreak/>
        <w:tab/>
      </w:r>
    </w:p>
    <w:p w:rsidR="00996159" w:rsidRPr="004E491C" w:rsidRDefault="00996159" w:rsidP="004E491C">
      <w:pPr>
        <w:widowControl/>
        <w:suppressAutoHyphens w:val="0"/>
        <w:spacing w:line="360" w:lineRule="auto"/>
        <w:jc w:val="both"/>
        <w:rPr>
          <w:bCs/>
        </w:rPr>
      </w:pPr>
      <w:r w:rsidRPr="004E491C">
        <w:rPr>
          <w:bCs/>
        </w:rPr>
        <w:t>“ARTÍCULO 8°: Las alícuotas para cada actividad, serán las que se indican en el presente artículo:</w:t>
      </w:r>
    </w:p>
    <w:p w:rsidR="00996159" w:rsidRPr="00E1755A" w:rsidRDefault="00996159" w:rsidP="00996159">
      <w:pPr>
        <w:widowControl/>
        <w:suppressAutoHyphens w:val="0"/>
        <w:spacing w:line="288" w:lineRule="auto"/>
        <w:ind w:left="720" w:firstLine="720"/>
        <w:jc w:val="both"/>
        <w:rPr>
          <w:rFonts w:eastAsia="Century Gothic"/>
          <w:color w:val="231F20"/>
          <w:spacing w:val="20"/>
          <w:kern w:val="0"/>
          <w:highlight w:val="white"/>
          <w:lang w:val="es-AR" w:eastAsia="es-AR"/>
        </w:rPr>
      </w:pPr>
    </w:p>
    <w:tbl>
      <w:tblPr>
        <w:tblStyle w:val="8"/>
        <w:tblW w:w="73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1701"/>
        <w:gridCol w:w="1736"/>
      </w:tblGrid>
      <w:tr w:rsidR="00996159" w:rsidRPr="00E1755A" w:rsidTr="00996159">
        <w:trPr>
          <w:jc w:val="center"/>
        </w:trPr>
        <w:tc>
          <w:tcPr>
            <w:tcW w:w="3936" w:type="dxa"/>
            <w:vAlign w:val="center"/>
          </w:tcPr>
          <w:p w:rsidR="00996159" w:rsidRPr="00E1755A" w:rsidRDefault="00996159" w:rsidP="00996159">
            <w:pPr>
              <w:widowControl/>
              <w:suppressAutoHyphens w:val="0"/>
              <w:jc w:val="center"/>
              <w:rPr>
                <w:rFonts w:eastAsia="Century Gothic"/>
                <w:b/>
                <w:spacing w:val="20"/>
                <w:kern w:val="0"/>
                <w:lang w:val="es-AR" w:eastAsia="es-AR"/>
              </w:rPr>
            </w:pPr>
            <w:r w:rsidRPr="00E1755A">
              <w:rPr>
                <w:rFonts w:eastAsia="Century Gothic"/>
                <w:b/>
                <w:spacing w:val="20"/>
                <w:kern w:val="0"/>
                <w:lang w:val="es-AR" w:eastAsia="es-AR"/>
              </w:rPr>
              <w:t>Actividad</w:t>
            </w:r>
          </w:p>
        </w:tc>
        <w:tc>
          <w:tcPr>
            <w:tcW w:w="1701" w:type="dxa"/>
            <w:vAlign w:val="center"/>
          </w:tcPr>
          <w:p w:rsidR="00996159" w:rsidRPr="00E1755A" w:rsidRDefault="00996159" w:rsidP="00996159">
            <w:pPr>
              <w:widowControl/>
              <w:tabs>
                <w:tab w:val="left" w:pos="758"/>
              </w:tabs>
              <w:suppressAutoHyphens w:val="0"/>
              <w:jc w:val="center"/>
              <w:rPr>
                <w:rFonts w:eastAsia="Century Gothic"/>
                <w:b/>
                <w:spacing w:val="20"/>
                <w:kern w:val="0"/>
                <w:lang w:val="es-AR" w:eastAsia="es-AR"/>
              </w:rPr>
            </w:pPr>
            <w:r w:rsidRPr="00E1755A">
              <w:rPr>
                <w:rFonts w:eastAsia="Century Gothic"/>
                <w:b/>
                <w:spacing w:val="20"/>
                <w:kern w:val="0"/>
                <w:lang w:val="es-AR" w:eastAsia="es-AR"/>
              </w:rPr>
              <w:t>Año 2021</w:t>
            </w:r>
          </w:p>
        </w:tc>
        <w:tc>
          <w:tcPr>
            <w:tcW w:w="1736" w:type="dxa"/>
            <w:vAlign w:val="center"/>
          </w:tcPr>
          <w:p w:rsidR="00996159" w:rsidRPr="00E1755A" w:rsidRDefault="00996159" w:rsidP="00996159">
            <w:pPr>
              <w:widowControl/>
              <w:suppressAutoHyphens w:val="0"/>
              <w:ind w:left="708" w:hanging="708"/>
              <w:jc w:val="center"/>
              <w:rPr>
                <w:rFonts w:eastAsia="Century Gothic"/>
                <w:b/>
                <w:spacing w:val="20"/>
                <w:kern w:val="0"/>
                <w:lang w:val="es-AR" w:eastAsia="es-AR"/>
              </w:rPr>
            </w:pPr>
            <w:r w:rsidRPr="00E1755A">
              <w:rPr>
                <w:rFonts w:eastAsia="Century Gothic"/>
                <w:b/>
                <w:spacing w:val="20"/>
                <w:kern w:val="0"/>
                <w:lang w:val="es-AR" w:eastAsia="es-AR"/>
              </w:rPr>
              <w:t>Año 2022</w:t>
            </w:r>
          </w:p>
        </w:tc>
      </w:tr>
      <w:tr w:rsidR="00996159" w:rsidRPr="00E1755A" w:rsidTr="00996159">
        <w:trPr>
          <w:jc w:val="center"/>
        </w:trPr>
        <w:tc>
          <w:tcPr>
            <w:tcW w:w="3936" w:type="dxa"/>
            <w:vAlign w:val="center"/>
          </w:tcPr>
          <w:p w:rsidR="00996159" w:rsidRPr="004E491C" w:rsidRDefault="00996159" w:rsidP="004E491C">
            <w:pPr>
              <w:widowControl/>
              <w:suppressAutoHyphens w:val="0"/>
              <w:spacing w:line="288" w:lineRule="auto"/>
              <w:jc w:val="both"/>
              <w:rPr>
                <w:bCs/>
              </w:rPr>
            </w:pPr>
            <w:r w:rsidRPr="004E491C">
              <w:rPr>
                <w:bCs/>
              </w:rPr>
              <w:t>Agricultura, Ganadería, Caza y Silvicultura.</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0,75%</w:t>
            </w:r>
          </w:p>
        </w:tc>
        <w:tc>
          <w:tcPr>
            <w:tcW w:w="1736" w:type="dxa"/>
            <w:vAlign w:val="center"/>
          </w:tcPr>
          <w:p w:rsidR="00996159" w:rsidRPr="004E491C" w:rsidRDefault="00996159" w:rsidP="004E491C">
            <w:pPr>
              <w:widowControl/>
              <w:suppressAutoHyphens w:val="0"/>
              <w:spacing w:line="288" w:lineRule="auto"/>
              <w:ind w:left="280" w:right="262"/>
              <w:jc w:val="center"/>
              <w:rPr>
                <w:bCs/>
              </w:rPr>
            </w:pPr>
            <w:r w:rsidRPr="004E491C">
              <w:rPr>
                <w:bCs/>
              </w:rPr>
              <w:t>exento</w:t>
            </w:r>
          </w:p>
        </w:tc>
      </w:tr>
      <w:tr w:rsidR="00996159" w:rsidRPr="00E1755A" w:rsidTr="00996159">
        <w:trPr>
          <w:jc w:val="center"/>
        </w:trPr>
        <w:tc>
          <w:tcPr>
            <w:tcW w:w="3936" w:type="dxa"/>
            <w:vAlign w:val="center"/>
          </w:tcPr>
          <w:p w:rsidR="00996159" w:rsidRPr="004E491C" w:rsidRDefault="00996159" w:rsidP="004E491C">
            <w:pPr>
              <w:widowControl/>
              <w:suppressAutoHyphens w:val="0"/>
              <w:spacing w:line="288" w:lineRule="auto"/>
              <w:jc w:val="both"/>
              <w:rPr>
                <w:bCs/>
              </w:rPr>
            </w:pPr>
            <w:r w:rsidRPr="004E491C">
              <w:rPr>
                <w:bCs/>
              </w:rPr>
              <w:t>Pesca.</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0,75%</w:t>
            </w:r>
          </w:p>
        </w:tc>
        <w:tc>
          <w:tcPr>
            <w:tcW w:w="1736" w:type="dxa"/>
            <w:vAlign w:val="center"/>
          </w:tcPr>
          <w:p w:rsidR="00996159" w:rsidRPr="004E491C" w:rsidRDefault="00996159" w:rsidP="004E491C">
            <w:pPr>
              <w:widowControl/>
              <w:suppressAutoHyphens w:val="0"/>
              <w:spacing w:line="288" w:lineRule="auto"/>
              <w:ind w:left="280" w:right="262"/>
              <w:jc w:val="center"/>
              <w:rPr>
                <w:bCs/>
              </w:rPr>
            </w:pPr>
            <w:r w:rsidRPr="004E491C">
              <w:rPr>
                <w:bCs/>
              </w:rPr>
              <w:t>exento</w:t>
            </w:r>
          </w:p>
        </w:tc>
      </w:tr>
      <w:tr w:rsidR="00996159" w:rsidRPr="00E1755A" w:rsidTr="00996159">
        <w:trPr>
          <w:jc w:val="center"/>
        </w:trPr>
        <w:tc>
          <w:tcPr>
            <w:tcW w:w="3936" w:type="dxa"/>
            <w:vAlign w:val="center"/>
          </w:tcPr>
          <w:p w:rsidR="00996159" w:rsidRPr="004E491C" w:rsidRDefault="00996159" w:rsidP="004E491C">
            <w:pPr>
              <w:widowControl/>
              <w:suppressAutoHyphens w:val="0"/>
              <w:spacing w:line="288" w:lineRule="auto"/>
              <w:jc w:val="both"/>
              <w:rPr>
                <w:bCs/>
              </w:rPr>
            </w:pPr>
            <w:r w:rsidRPr="004E491C">
              <w:rPr>
                <w:bCs/>
              </w:rPr>
              <w:t>Explotación de Minas y Canteras.</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0,75%</w:t>
            </w:r>
          </w:p>
        </w:tc>
        <w:tc>
          <w:tcPr>
            <w:tcW w:w="1736" w:type="dxa"/>
            <w:vAlign w:val="center"/>
          </w:tcPr>
          <w:p w:rsidR="00996159" w:rsidRPr="004E491C" w:rsidRDefault="00996159" w:rsidP="004E491C">
            <w:pPr>
              <w:widowControl/>
              <w:suppressAutoHyphens w:val="0"/>
              <w:spacing w:line="288" w:lineRule="auto"/>
              <w:ind w:left="280" w:right="262"/>
              <w:jc w:val="center"/>
              <w:rPr>
                <w:bCs/>
              </w:rPr>
            </w:pPr>
            <w:r w:rsidRPr="004E491C">
              <w:rPr>
                <w:bCs/>
              </w:rPr>
              <w:t>exento</w:t>
            </w:r>
          </w:p>
        </w:tc>
      </w:tr>
      <w:tr w:rsidR="00996159" w:rsidRPr="00E1755A" w:rsidTr="00996159">
        <w:trPr>
          <w:jc w:val="center"/>
        </w:trPr>
        <w:tc>
          <w:tcPr>
            <w:tcW w:w="3936" w:type="dxa"/>
            <w:vAlign w:val="center"/>
          </w:tcPr>
          <w:p w:rsidR="00996159" w:rsidRPr="004E491C" w:rsidRDefault="00996159" w:rsidP="004E491C">
            <w:pPr>
              <w:widowControl/>
              <w:suppressAutoHyphens w:val="0"/>
              <w:spacing w:line="288" w:lineRule="auto"/>
              <w:jc w:val="both"/>
              <w:rPr>
                <w:bCs/>
              </w:rPr>
            </w:pPr>
            <w:r w:rsidRPr="004E491C">
              <w:rPr>
                <w:bCs/>
              </w:rPr>
              <w:t>Industria Manufacturera (1).</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1,50%</w:t>
            </w:r>
          </w:p>
        </w:tc>
        <w:tc>
          <w:tcPr>
            <w:tcW w:w="1736" w:type="dxa"/>
            <w:vAlign w:val="center"/>
          </w:tcPr>
          <w:p w:rsidR="00996159" w:rsidRPr="004E491C" w:rsidRDefault="00996159" w:rsidP="004E491C">
            <w:pPr>
              <w:widowControl/>
              <w:suppressAutoHyphens w:val="0"/>
              <w:spacing w:line="288" w:lineRule="auto"/>
              <w:ind w:left="280" w:right="262"/>
              <w:jc w:val="center"/>
              <w:rPr>
                <w:bCs/>
              </w:rPr>
            </w:pPr>
            <w:r w:rsidRPr="004E491C">
              <w:rPr>
                <w:bCs/>
              </w:rPr>
              <w:t>exento</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Industrialización de combustibles líquidos y gas natural comprimido.</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0,25%</w:t>
            </w:r>
          </w:p>
        </w:tc>
        <w:tc>
          <w:tcPr>
            <w:tcW w:w="1736" w:type="dxa"/>
            <w:vAlign w:val="center"/>
          </w:tcPr>
          <w:p w:rsidR="00996159" w:rsidRPr="004E491C" w:rsidRDefault="00996159" w:rsidP="004E491C">
            <w:pPr>
              <w:widowControl/>
              <w:suppressAutoHyphens w:val="0"/>
              <w:spacing w:line="288" w:lineRule="auto"/>
              <w:ind w:left="280" w:right="262"/>
              <w:jc w:val="center"/>
              <w:rPr>
                <w:bCs/>
              </w:rPr>
            </w:pPr>
            <w:r w:rsidRPr="004E491C">
              <w:rPr>
                <w:bCs/>
              </w:rPr>
              <w:t>exento</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Electricidad, gas y agua.</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3,75%</w:t>
            </w:r>
          </w:p>
        </w:tc>
        <w:tc>
          <w:tcPr>
            <w:tcW w:w="1736" w:type="dxa"/>
            <w:vAlign w:val="center"/>
          </w:tcPr>
          <w:p w:rsidR="00996159" w:rsidRPr="004E491C" w:rsidRDefault="00996159" w:rsidP="004E491C">
            <w:pPr>
              <w:widowControl/>
              <w:suppressAutoHyphens w:val="0"/>
              <w:spacing w:line="288" w:lineRule="auto"/>
              <w:ind w:left="280" w:right="262"/>
              <w:jc w:val="center"/>
              <w:rPr>
                <w:bCs/>
              </w:rPr>
            </w:pPr>
            <w:r w:rsidRPr="004E491C">
              <w:rPr>
                <w:bCs/>
              </w:rPr>
              <w:t>exento</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Suministros electricidad y gas destinados a la producción primaria, industrial y comercial.</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2,00%</w:t>
            </w:r>
          </w:p>
        </w:tc>
        <w:tc>
          <w:tcPr>
            <w:tcW w:w="1736" w:type="dxa"/>
            <w:vAlign w:val="center"/>
          </w:tcPr>
          <w:p w:rsidR="00996159" w:rsidRPr="004E491C" w:rsidRDefault="00996159" w:rsidP="004E491C">
            <w:pPr>
              <w:widowControl/>
              <w:suppressAutoHyphens w:val="0"/>
              <w:spacing w:line="288" w:lineRule="auto"/>
              <w:ind w:left="280" w:right="262"/>
              <w:jc w:val="center"/>
              <w:rPr>
                <w:bCs/>
              </w:rPr>
            </w:pPr>
            <w:r w:rsidRPr="004E491C">
              <w:rPr>
                <w:bCs/>
              </w:rPr>
              <w:t>exento</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Construcción.</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2,50%</w:t>
            </w:r>
          </w:p>
        </w:tc>
        <w:tc>
          <w:tcPr>
            <w:tcW w:w="1736" w:type="dxa"/>
            <w:vAlign w:val="center"/>
          </w:tcPr>
          <w:p w:rsidR="00996159" w:rsidRPr="004E491C" w:rsidRDefault="00996159" w:rsidP="004E491C">
            <w:pPr>
              <w:widowControl/>
              <w:suppressAutoHyphens w:val="0"/>
              <w:spacing w:line="288" w:lineRule="auto"/>
              <w:ind w:left="300" w:right="262"/>
              <w:jc w:val="center"/>
              <w:rPr>
                <w:bCs/>
              </w:rPr>
            </w:pPr>
            <w:r w:rsidRPr="004E491C">
              <w:rPr>
                <w:bCs/>
              </w:rPr>
              <w:t>2,00%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Comercio Mayorista y Minorista (2).</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5,00%</w:t>
            </w:r>
          </w:p>
        </w:tc>
        <w:tc>
          <w:tcPr>
            <w:tcW w:w="1736" w:type="dxa"/>
            <w:vAlign w:val="center"/>
          </w:tcPr>
          <w:p w:rsidR="00996159" w:rsidRPr="004E491C" w:rsidRDefault="00996159" w:rsidP="004E491C">
            <w:pPr>
              <w:widowControl/>
              <w:suppressAutoHyphens w:val="0"/>
              <w:spacing w:line="288" w:lineRule="auto"/>
              <w:ind w:left="300" w:right="262"/>
              <w:jc w:val="center"/>
              <w:rPr>
                <w:bCs/>
              </w:rPr>
            </w:pPr>
            <w:r w:rsidRPr="004E491C">
              <w:rPr>
                <w:bCs/>
              </w:rPr>
              <w:t>5,00%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Combustibles líquidos y gas natural comprimido mayorista.</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0,25%</w:t>
            </w:r>
          </w:p>
        </w:tc>
        <w:tc>
          <w:tcPr>
            <w:tcW w:w="1736" w:type="dxa"/>
            <w:vAlign w:val="center"/>
          </w:tcPr>
          <w:p w:rsidR="00996159" w:rsidRPr="004E491C" w:rsidRDefault="00996159" w:rsidP="004E491C">
            <w:pPr>
              <w:widowControl/>
              <w:suppressAutoHyphens w:val="0"/>
              <w:spacing w:line="288" w:lineRule="auto"/>
              <w:ind w:left="300" w:right="262"/>
              <w:jc w:val="center"/>
              <w:rPr>
                <w:bCs/>
              </w:rPr>
            </w:pPr>
            <w:r w:rsidRPr="004E491C">
              <w:rPr>
                <w:bCs/>
              </w:rPr>
              <w:t>0,25%</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Expendio al público de combustibles líquidos y gas natural comprimido.</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p>
          <w:p w:rsidR="00996159" w:rsidRPr="004E491C" w:rsidRDefault="00996159" w:rsidP="004E491C">
            <w:pPr>
              <w:widowControl/>
              <w:tabs>
                <w:tab w:val="left" w:pos="758"/>
              </w:tabs>
              <w:suppressAutoHyphens w:val="0"/>
              <w:spacing w:line="288" w:lineRule="auto"/>
              <w:ind w:right="262"/>
              <w:jc w:val="center"/>
              <w:rPr>
                <w:bCs/>
              </w:rPr>
            </w:pPr>
            <w:r w:rsidRPr="004E491C">
              <w:rPr>
                <w:bCs/>
              </w:rPr>
              <w:t>3,00%</w:t>
            </w:r>
          </w:p>
        </w:tc>
        <w:tc>
          <w:tcPr>
            <w:tcW w:w="1736" w:type="dxa"/>
            <w:vAlign w:val="center"/>
          </w:tcPr>
          <w:p w:rsidR="00996159" w:rsidRPr="004E491C" w:rsidRDefault="00996159" w:rsidP="004E491C">
            <w:pPr>
              <w:widowControl/>
              <w:suppressAutoHyphens w:val="0"/>
              <w:spacing w:line="288" w:lineRule="auto"/>
              <w:ind w:left="300" w:right="262"/>
              <w:jc w:val="center"/>
              <w:rPr>
                <w:bCs/>
              </w:rPr>
            </w:pPr>
          </w:p>
          <w:p w:rsidR="00996159" w:rsidRPr="004E491C" w:rsidRDefault="00996159" w:rsidP="004E491C">
            <w:pPr>
              <w:widowControl/>
              <w:suppressAutoHyphens w:val="0"/>
              <w:spacing w:line="288" w:lineRule="auto"/>
              <w:ind w:left="300" w:right="262"/>
              <w:jc w:val="center"/>
              <w:rPr>
                <w:bCs/>
              </w:rPr>
            </w:pPr>
            <w:r w:rsidRPr="004E491C">
              <w:rPr>
                <w:bCs/>
              </w:rPr>
              <w:t>3,00%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Expendio al público de combustibles líquidos y gas natural comprimido, realizado por petroleras.</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3,50%</w:t>
            </w:r>
          </w:p>
        </w:tc>
        <w:tc>
          <w:tcPr>
            <w:tcW w:w="1736" w:type="dxa"/>
            <w:vAlign w:val="center"/>
          </w:tcPr>
          <w:p w:rsidR="00996159" w:rsidRPr="004E491C" w:rsidRDefault="00996159" w:rsidP="004E491C">
            <w:pPr>
              <w:widowControl/>
              <w:suppressAutoHyphens w:val="0"/>
              <w:spacing w:line="288" w:lineRule="auto"/>
              <w:ind w:left="300" w:right="262"/>
              <w:jc w:val="center"/>
              <w:rPr>
                <w:bCs/>
              </w:rPr>
            </w:pPr>
            <w:r w:rsidRPr="004E491C">
              <w:rPr>
                <w:bCs/>
              </w:rPr>
              <w:t>3,50%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Comercio mayorista de: semillas; materias primas agrícolas y de la silvicultura; cereales (</w:t>
            </w:r>
            <w:proofErr w:type="spellStart"/>
            <w:r w:rsidRPr="004E491C">
              <w:rPr>
                <w:bCs/>
              </w:rPr>
              <w:t>incluído</w:t>
            </w:r>
            <w:proofErr w:type="spellEnd"/>
            <w:r w:rsidRPr="004E491C">
              <w:rPr>
                <w:bCs/>
              </w:rPr>
              <w:t xml:space="preserve"> arroz),   oleaginosas y forrajeras; abonos, fertilizantes y plaguicidas; materias primas pecuarias incluso animales vivos; y alimentos para animales; cuando estas actividades sean desarrolladas por cooperativas agropecuarias, por operaciones con sus asociados.</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1,50%</w:t>
            </w:r>
          </w:p>
        </w:tc>
        <w:tc>
          <w:tcPr>
            <w:tcW w:w="1736" w:type="dxa"/>
            <w:vAlign w:val="center"/>
          </w:tcPr>
          <w:p w:rsidR="00996159" w:rsidRPr="004E491C" w:rsidRDefault="00996159" w:rsidP="004E491C">
            <w:pPr>
              <w:widowControl/>
              <w:suppressAutoHyphens w:val="0"/>
              <w:spacing w:line="288" w:lineRule="auto"/>
              <w:ind w:left="320" w:right="262"/>
              <w:jc w:val="center"/>
              <w:rPr>
                <w:bCs/>
              </w:rPr>
            </w:pPr>
            <w:r w:rsidRPr="004E491C">
              <w:rPr>
                <w:bCs/>
              </w:rPr>
              <w:t>1,50%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lastRenderedPageBreak/>
              <w:t>Comercio mayorista en comisión o consignación de: semillas, productos agrícolas, cereales (incluido arroz), oleaginosas y forrajeras; cuando estas actividades sean desarrolladas por cooperativas agropecuarias, por operaciones con sus asociados.</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3,00%</w:t>
            </w:r>
          </w:p>
        </w:tc>
        <w:tc>
          <w:tcPr>
            <w:tcW w:w="1736" w:type="dxa"/>
            <w:vAlign w:val="center"/>
          </w:tcPr>
          <w:p w:rsidR="00996159" w:rsidRPr="004E491C" w:rsidRDefault="00996159" w:rsidP="004E491C">
            <w:pPr>
              <w:widowControl/>
              <w:suppressAutoHyphens w:val="0"/>
              <w:spacing w:line="288" w:lineRule="auto"/>
              <w:ind w:right="262"/>
              <w:jc w:val="center"/>
              <w:rPr>
                <w:bCs/>
              </w:rPr>
            </w:pPr>
            <w:r w:rsidRPr="004E491C">
              <w:rPr>
                <w:bCs/>
              </w:rPr>
              <w:t>3,00%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Comercio mayorista, cuando estas actividades sean desarrolladas por cooperativas agropecuarias, por operaciones con sus asociados.</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3,50%</w:t>
            </w:r>
          </w:p>
        </w:tc>
        <w:tc>
          <w:tcPr>
            <w:tcW w:w="1736" w:type="dxa"/>
            <w:vAlign w:val="center"/>
          </w:tcPr>
          <w:p w:rsidR="00996159" w:rsidRPr="004E491C" w:rsidRDefault="00996159" w:rsidP="004E491C">
            <w:pPr>
              <w:widowControl/>
              <w:suppressAutoHyphens w:val="0"/>
              <w:spacing w:line="288" w:lineRule="auto"/>
              <w:ind w:right="262"/>
              <w:jc w:val="center"/>
              <w:rPr>
                <w:bCs/>
              </w:rPr>
            </w:pPr>
            <w:r w:rsidRPr="004E491C">
              <w:rPr>
                <w:bCs/>
              </w:rPr>
              <w:t>3,50%</w:t>
            </w:r>
          </w:p>
        </w:tc>
      </w:tr>
      <w:tr w:rsidR="00996159" w:rsidRPr="00E1755A" w:rsidTr="00996159">
        <w:trPr>
          <w:jc w:val="center"/>
        </w:trPr>
        <w:tc>
          <w:tcPr>
            <w:tcW w:w="3936" w:type="dxa"/>
            <w:vAlign w:val="bottom"/>
          </w:tcPr>
          <w:p w:rsidR="00996159" w:rsidRPr="004E491C" w:rsidRDefault="00996159" w:rsidP="00996159">
            <w:pPr>
              <w:widowControl/>
              <w:suppressAutoHyphens w:val="0"/>
              <w:spacing w:line="288" w:lineRule="auto"/>
              <w:jc w:val="both"/>
              <w:rPr>
                <w:bCs/>
              </w:rPr>
            </w:pPr>
            <w:r w:rsidRPr="004E491C">
              <w:rPr>
                <w:bCs/>
              </w:rPr>
              <w:t>Venta de cereales, forrajeras y/u oleaginosas recibidas en canje como pago de insumos, bienes o servicios destinados a producción primaria  desarrollada por cuenta propia por acopiadores de tales productos.</w:t>
            </w:r>
          </w:p>
          <w:p w:rsidR="00996159" w:rsidRPr="004E491C" w:rsidRDefault="00996159" w:rsidP="00996159">
            <w:pPr>
              <w:widowControl/>
              <w:suppressAutoHyphens w:val="0"/>
              <w:jc w:val="both"/>
              <w:rPr>
                <w:bCs/>
              </w:rPr>
            </w:pPr>
            <w:r w:rsidRPr="004E491C">
              <w:rPr>
                <w:bCs/>
              </w:rPr>
              <w:t>(Artículo 159° Código Fiscal)</w:t>
            </w:r>
          </w:p>
        </w:tc>
        <w:tc>
          <w:tcPr>
            <w:tcW w:w="1701" w:type="dxa"/>
            <w:vAlign w:val="center"/>
          </w:tcPr>
          <w:p w:rsidR="00996159" w:rsidRPr="004E491C" w:rsidRDefault="00996159" w:rsidP="00996159">
            <w:pPr>
              <w:widowControl/>
              <w:tabs>
                <w:tab w:val="left" w:pos="758"/>
              </w:tabs>
              <w:suppressAutoHyphens w:val="0"/>
              <w:ind w:right="262"/>
              <w:jc w:val="center"/>
              <w:rPr>
                <w:bCs/>
              </w:rPr>
            </w:pPr>
          </w:p>
          <w:p w:rsidR="00996159" w:rsidRPr="004E491C" w:rsidRDefault="00996159" w:rsidP="00996159">
            <w:pPr>
              <w:widowControl/>
              <w:tabs>
                <w:tab w:val="left" w:pos="758"/>
              </w:tabs>
              <w:suppressAutoHyphens w:val="0"/>
              <w:ind w:right="262"/>
              <w:jc w:val="center"/>
              <w:rPr>
                <w:bCs/>
              </w:rPr>
            </w:pPr>
          </w:p>
          <w:p w:rsidR="00996159" w:rsidRPr="004E491C" w:rsidRDefault="00996159" w:rsidP="00996159">
            <w:pPr>
              <w:widowControl/>
              <w:tabs>
                <w:tab w:val="left" w:pos="758"/>
              </w:tabs>
              <w:suppressAutoHyphens w:val="0"/>
              <w:ind w:right="262"/>
              <w:jc w:val="center"/>
              <w:rPr>
                <w:bCs/>
              </w:rPr>
            </w:pPr>
          </w:p>
          <w:p w:rsidR="00996159" w:rsidRPr="004E491C" w:rsidRDefault="00996159" w:rsidP="00996159">
            <w:pPr>
              <w:widowControl/>
              <w:tabs>
                <w:tab w:val="left" w:pos="758"/>
              </w:tabs>
              <w:suppressAutoHyphens w:val="0"/>
              <w:ind w:right="262"/>
              <w:jc w:val="center"/>
              <w:rPr>
                <w:bCs/>
              </w:rPr>
            </w:pPr>
          </w:p>
          <w:p w:rsidR="00996159" w:rsidRPr="004E491C" w:rsidRDefault="00996159" w:rsidP="00996159">
            <w:pPr>
              <w:widowControl/>
              <w:tabs>
                <w:tab w:val="left" w:pos="758"/>
              </w:tabs>
              <w:suppressAutoHyphens w:val="0"/>
              <w:ind w:right="262"/>
              <w:jc w:val="center"/>
              <w:rPr>
                <w:bCs/>
              </w:rPr>
            </w:pPr>
          </w:p>
          <w:p w:rsidR="00996159" w:rsidRPr="004E491C" w:rsidRDefault="00996159" w:rsidP="00996159">
            <w:pPr>
              <w:widowControl/>
              <w:tabs>
                <w:tab w:val="left" w:pos="758"/>
              </w:tabs>
              <w:suppressAutoHyphens w:val="0"/>
              <w:ind w:right="262"/>
              <w:jc w:val="center"/>
              <w:rPr>
                <w:bCs/>
              </w:rPr>
            </w:pPr>
          </w:p>
          <w:p w:rsidR="00996159" w:rsidRPr="004E491C" w:rsidRDefault="00996159" w:rsidP="00996159">
            <w:pPr>
              <w:widowControl/>
              <w:tabs>
                <w:tab w:val="left" w:pos="758"/>
              </w:tabs>
              <w:suppressAutoHyphens w:val="0"/>
              <w:ind w:right="262"/>
              <w:jc w:val="center"/>
              <w:rPr>
                <w:bCs/>
              </w:rPr>
            </w:pPr>
          </w:p>
          <w:p w:rsidR="00996159" w:rsidRPr="004E491C" w:rsidRDefault="00996159" w:rsidP="00996159">
            <w:pPr>
              <w:widowControl/>
              <w:tabs>
                <w:tab w:val="left" w:pos="758"/>
              </w:tabs>
              <w:suppressAutoHyphens w:val="0"/>
              <w:ind w:right="262"/>
              <w:jc w:val="center"/>
              <w:rPr>
                <w:bCs/>
              </w:rPr>
            </w:pPr>
          </w:p>
          <w:p w:rsidR="00996159" w:rsidRPr="004E491C" w:rsidRDefault="00996159" w:rsidP="00996159">
            <w:pPr>
              <w:widowControl/>
              <w:tabs>
                <w:tab w:val="left" w:pos="758"/>
              </w:tabs>
              <w:suppressAutoHyphens w:val="0"/>
              <w:ind w:right="262"/>
              <w:jc w:val="center"/>
              <w:rPr>
                <w:bCs/>
              </w:rPr>
            </w:pPr>
            <w:r w:rsidRPr="004E491C">
              <w:rPr>
                <w:bCs/>
              </w:rPr>
              <w:t>0,25%</w:t>
            </w:r>
          </w:p>
        </w:tc>
        <w:tc>
          <w:tcPr>
            <w:tcW w:w="1736" w:type="dxa"/>
            <w:vAlign w:val="center"/>
          </w:tcPr>
          <w:p w:rsidR="00996159" w:rsidRPr="004E491C" w:rsidRDefault="00996159" w:rsidP="00996159">
            <w:pPr>
              <w:widowControl/>
              <w:suppressAutoHyphens w:val="0"/>
              <w:ind w:right="262"/>
              <w:jc w:val="center"/>
              <w:rPr>
                <w:bCs/>
              </w:rPr>
            </w:pPr>
          </w:p>
          <w:p w:rsidR="00996159" w:rsidRPr="004E491C" w:rsidRDefault="00996159" w:rsidP="00996159">
            <w:pPr>
              <w:widowControl/>
              <w:suppressAutoHyphens w:val="0"/>
              <w:ind w:right="262"/>
              <w:jc w:val="center"/>
              <w:rPr>
                <w:bCs/>
              </w:rPr>
            </w:pPr>
          </w:p>
          <w:p w:rsidR="00996159" w:rsidRPr="004E491C" w:rsidRDefault="00996159" w:rsidP="00996159">
            <w:pPr>
              <w:widowControl/>
              <w:suppressAutoHyphens w:val="0"/>
              <w:ind w:right="262"/>
              <w:jc w:val="center"/>
              <w:rPr>
                <w:bCs/>
              </w:rPr>
            </w:pPr>
          </w:p>
          <w:p w:rsidR="00996159" w:rsidRPr="004E491C" w:rsidRDefault="00996159" w:rsidP="00996159">
            <w:pPr>
              <w:widowControl/>
              <w:suppressAutoHyphens w:val="0"/>
              <w:ind w:right="262"/>
              <w:jc w:val="center"/>
              <w:rPr>
                <w:bCs/>
              </w:rPr>
            </w:pPr>
          </w:p>
          <w:p w:rsidR="00996159" w:rsidRPr="004E491C" w:rsidRDefault="00996159" w:rsidP="00996159">
            <w:pPr>
              <w:widowControl/>
              <w:suppressAutoHyphens w:val="0"/>
              <w:ind w:right="262"/>
              <w:jc w:val="center"/>
              <w:rPr>
                <w:bCs/>
              </w:rPr>
            </w:pPr>
          </w:p>
          <w:p w:rsidR="00996159" w:rsidRPr="004E491C" w:rsidRDefault="00996159" w:rsidP="00996159">
            <w:pPr>
              <w:widowControl/>
              <w:suppressAutoHyphens w:val="0"/>
              <w:ind w:right="262"/>
              <w:jc w:val="center"/>
              <w:rPr>
                <w:bCs/>
              </w:rPr>
            </w:pPr>
          </w:p>
          <w:p w:rsidR="00996159" w:rsidRPr="004E491C" w:rsidRDefault="00996159" w:rsidP="00996159">
            <w:pPr>
              <w:widowControl/>
              <w:suppressAutoHyphens w:val="0"/>
              <w:ind w:right="262"/>
              <w:jc w:val="center"/>
              <w:rPr>
                <w:bCs/>
              </w:rPr>
            </w:pPr>
          </w:p>
          <w:p w:rsidR="00996159" w:rsidRPr="004E491C" w:rsidRDefault="00996159" w:rsidP="00996159">
            <w:pPr>
              <w:widowControl/>
              <w:suppressAutoHyphens w:val="0"/>
              <w:ind w:right="262"/>
              <w:jc w:val="center"/>
              <w:rPr>
                <w:bCs/>
              </w:rPr>
            </w:pPr>
          </w:p>
          <w:p w:rsidR="00996159" w:rsidRPr="004E491C" w:rsidRDefault="00996159" w:rsidP="00996159">
            <w:pPr>
              <w:widowControl/>
              <w:suppressAutoHyphens w:val="0"/>
              <w:ind w:right="262"/>
              <w:jc w:val="center"/>
              <w:rPr>
                <w:bCs/>
              </w:rPr>
            </w:pPr>
            <w:r w:rsidRPr="004E491C">
              <w:rPr>
                <w:bCs/>
              </w:rPr>
              <w:t>0,25%</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Vehículos automotores cero kilómetro (0 km) por Concesionarios o Agencias Oficiales de Venta.</w:t>
            </w:r>
          </w:p>
          <w:p w:rsidR="00996159" w:rsidRPr="004E491C" w:rsidRDefault="00996159" w:rsidP="004E491C">
            <w:pPr>
              <w:widowControl/>
              <w:suppressAutoHyphens w:val="0"/>
              <w:spacing w:line="288" w:lineRule="auto"/>
              <w:jc w:val="both"/>
              <w:rPr>
                <w:bCs/>
              </w:rPr>
            </w:pPr>
            <w:r w:rsidRPr="004E491C">
              <w:rPr>
                <w:bCs/>
              </w:rPr>
              <w:t>Artículo 165º inciso a).</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12,50%</w:t>
            </w:r>
          </w:p>
        </w:tc>
        <w:tc>
          <w:tcPr>
            <w:tcW w:w="1736" w:type="dxa"/>
            <w:vAlign w:val="center"/>
          </w:tcPr>
          <w:p w:rsidR="00996159" w:rsidRPr="004E491C" w:rsidRDefault="00996159" w:rsidP="004E491C">
            <w:pPr>
              <w:widowControl/>
              <w:suppressAutoHyphens w:val="0"/>
              <w:spacing w:line="288" w:lineRule="auto"/>
              <w:ind w:right="262"/>
              <w:jc w:val="center"/>
              <w:rPr>
                <w:bCs/>
              </w:rPr>
            </w:pPr>
            <w:r w:rsidRPr="004E491C">
              <w:rPr>
                <w:bCs/>
              </w:rPr>
              <w:t>12,50%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Comercio mayorista de medicamentos para uso humano.</w:t>
            </w:r>
          </w:p>
        </w:tc>
        <w:tc>
          <w:tcPr>
            <w:tcW w:w="1701" w:type="dxa"/>
            <w:vAlign w:val="center"/>
          </w:tcPr>
          <w:p w:rsidR="00996159" w:rsidRPr="004E491C" w:rsidRDefault="00996159" w:rsidP="004E491C">
            <w:pPr>
              <w:widowControl/>
              <w:tabs>
                <w:tab w:val="left" w:pos="758"/>
              </w:tabs>
              <w:suppressAutoHyphens w:val="0"/>
              <w:spacing w:line="288" w:lineRule="auto"/>
              <w:ind w:right="262"/>
              <w:jc w:val="center"/>
              <w:rPr>
                <w:bCs/>
              </w:rPr>
            </w:pPr>
            <w:r w:rsidRPr="004E491C">
              <w:rPr>
                <w:bCs/>
              </w:rPr>
              <w:t>1,60%</w:t>
            </w:r>
          </w:p>
        </w:tc>
        <w:tc>
          <w:tcPr>
            <w:tcW w:w="1736" w:type="dxa"/>
            <w:vAlign w:val="center"/>
          </w:tcPr>
          <w:p w:rsidR="00996159" w:rsidRPr="004E491C" w:rsidRDefault="00996159" w:rsidP="004E491C">
            <w:pPr>
              <w:widowControl/>
              <w:suppressAutoHyphens w:val="0"/>
              <w:spacing w:line="288" w:lineRule="auto"/>
              <w:ind w:right="262"/>
              <w:jc w:val="center"/>
              <w:rPr>
                <w:bCs/>
              </w:rPr>
            </w:pPr>
            <w:r w:rsidRPr="004E491C">
              <w:rPr>
                <w:bCs/>
              </w:rPr>
              <w:t>1,60%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Farmacias, exclusivamente por la venta de medicamentos para uso humano, por el sistema de obras sociales.</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2,50%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2,50%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Comercialización de bienes usados, cuando deba tributarse sobre base imponible diferenciada.</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6,00%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6,00%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 xml:space="preserve">Agencias o representaciones comerciales, consignaciones, comisiones, administración de bienes, intermediación en la colocación de dinero en hipotecas, y en general, toda </w:t>
            </w:r>
            <w:r w:rsidRPr="004E491C">
              <w:rPr>
                <w:bCs/>
              </w:rPr>
              <w:lastRenderedPageBreak/>
              <w:t>actividad que se ejercite percibiendo comisiones, bonificaciones, porcentajes u otras retribuciones análogas, salvo las que tengan otro tratamiento; círculos cerrados, círculos abiertos, sistemas 60 x 1.000 y similares.</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lastRenderedPageBreak/>
              <w:t>6,00%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6,00%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lastRenderedPageBreak/>
              <w:t xml:space="preserve">Productos agropecuarios, forestales, de la pesca y minería, incluidos agroquímicos, fertilizantes, semillas, </w:t>
            </w:r>
            <w:proofErr w:type="spellStart"/>
            <w:r w:rsidRPr="004E491C">
              <w:rPr>
                <w:bCs/>
              </w:rPr>
              <w:t>plantines</w:t>
            </w:r>
            <w:proofErr w:type="spellEnd"/>
            <w:r w:rsidRPr="004E491C">
              <w:rPr>
                <w:bCs/>
              </w:rPr>
              <w:t>, yemas, vacunas, medicamentos y alimentos para  animales, cuando sean destinados al sector primario.</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p>
          <w:p w:rsidR="00996159" w:rsidRPr="004E491C" w:rsidRDefault="00996159" w:rsidP="004E491C">
            <w:pPr>
              <w:widowControl/>
              <w:tabs>
                <w:tab w:val="left" w:pos="758"/>
              </w:tabs>
              <w:suppressAutoHyphens w:val="0"/>
              <w:spacing w:line="288" w:lineRule="auto"/>
              <w:jc w:val="center"/>
              <w:rPr>
                <w:bCs/>
              </w:rPr>
            </w:pPr>
          </w:p>
          <w:p w:rsidR="00996159" w:rsidRPr="004E491C" w:rsidRDefault="00996159" w:rsidP="004E491C">
            <w:pPr>
              <w:widowControl/>
              <w:tabs>
                <w:tab w:val="left" w:pos="758"/>
              </w:tabs>
              <w:suppressAutoHyphens w:val="0"/>
              <w:spacing w:line="288" w:lineRule="auto"/>
              <w:jc w:val="center"/>
              <w:rPr>
                <w:bCs/>
              </w:rPr>
            </w:pPr>
          </w:p>
          <w:p w:rsidR="00996159" w:rsidRPr="004E491C" w:rsidRDefault="00996159" w:rsidP="004E491C">
            <w:pPr>
              <w:widowControl/>
              <w:tabs>
                <w:tab w:val="left" w:pos="758"/>
              </w:tabs>
              <w:suppressAutoHyphens w:val="0"/>
              <w:spacing w:line="288" w:lineRule="auto"/>
              <w:jc w:val="center"/>
              <w:rPr>
                <w:bCs/>
              </w:rPr>
            </w:pPr>
          </w:p>
          <w:p w:rsidR="00996159" w:rsidRPr="004E491C" w:rsidRDefault="00996159" w:rsidP="004E491C">
            <w:pPr>
              <w:widowControl/>
              <w:tabs>
                <w:tab w:val="left" w:pos="758"/>
              </w:tabs>
              <w:suppressAutoHyphens w:val="0"/>
              <w:spacing w:line="288" w:lineRule="auto"/>
              <w:jc w:val="center"/>
              <w:rPr>
                <w:bCs/>
              </w:rPr>
            </w:pPr>
          </w:p>
          <w:p w:rsidR="00996159" w:rsidRPr="004E491C" w:rsidRDefault="00996159" w:rsidP="004E491C">
            <w:pPr>
              <w:widowControl/>
              <w:tabs>
                <w:tab w:val="left" w:pos="758"/>
              </w:tabs>
              <w:suppressAutoHyphens w:val="0"/>
              <w:spacing w:line="288" w:lineRule="auto"/>
              <w:jc w:val="center"/>
              <w:rPr>
                <w:bCs/>
              </w:rPr>
            </w:pPr>
          </w:p>
          <w:p w:rsidR="00996159" w:rsidRPr="004E491C" w:rsidRDefault="00996159" w:rsidP="004E491C">
            <w:pPr>
              <w:widowControl/>
              <w:tabs>
                <w:tab w:val="left" w:pos="758"/>
              </w:tabs>
              <w:suppressAutoHyphens w:val="0"/>
              <w:spacing w:line="288" w:lineRule="auto"/>
              <w:jc w:val="center"/>
              <w:rPr>
                <w:bCs/>
              </w:rPr>
            </w:pPr>
            <w:r w:rsidRPr="004E491C">
              <w:rPr>
                <w:bCs/>
              </w:rPr>
              <w:t>2,60%</w:t>
            </w:r>
          </w:p>
        </w:tc>
        <w:tc>
          <w:tcPr>
            <w:tcW w:w="1736" w:type="dxa"/>
            <w:vAlign w:val="center"/>
          </w:tcPr>
          <w:p w:rsidR="00996159" w:rsidRPr="004E491C" w:rsidRDefault="00996159" w:rsidP="004E491C">
            <w:pPr>
              <w:widowControl/>
              <w:suppressAutoHyphens w:val="0"/>
              <w:spacing w:line="288" w:lineRule="auto"/>
              <w:jc w:val="center"/>
              <w:rPr>
                <w:bCs/>
              </w:rPr>
            </w:pPr>
          </w:p>
          <w:p w:rsidR="00996159" w:rsidRPr="004E491C" w:rsidRDefault="00996159" w:rsidP="004E491C">
            <w:pPr>
              <w:widowControl/>
              <w:suppressAutoHyphens w:val="0"/>
              <w:spacing w:line="288" w:lineRule="auto"/>
              <w:jc w:val="center"/>
              <w:rPr>
                <w:bCs/>
              </w:rPr>
            </w:pPr>
          </w:p>
          <w:p w:rsidR="00996159" w:rsidRPr="004E491C" w:rsidRDefault="00996159" w:rsidP="004E491C">
            <w:pPr>
              <w:widowControl/>
              <w:suppressAutoHyphens w:val="0"/>
              <w:spacing w:line="288" w:lineRule="auto"/>
              <w:jc w:val="center"/>
              <w:rPr>
                <w:bCs/>
              </w:rPr>
            </w:pPr>
          </w:p>
          <w:p w:rsidR="00996159" w:rsidRPr="004E491C" w:rsidRDefault="00996159" w:rsidP="004E491C">
            <w:pPr>
              <w:widowControl/>
              <w:suppressAutoHyphens w:val="0"/>
              <w:spacing w:line="288" w:lineRule="auto"/>
              <w:jc w:val="center"/>
              <w:rPr>
                <w:bCs/>
              </w:rPr>
            </w:pPr>
          </w:p>
          <w:p w:rsidR="00996159" w:rsidRPr="004E491C" w:rsidRDefault="00996159" w:rsidP="004E491C">
            <w:pPr>
              <w:widowControl/>
              <w:suppressAutoHyphens w:val="0"/>
              <w:spacing w:line="288" w:lineRule="auto"/>
              <w:jc w:val="center"/>
              <w:rPr>
                <w:bCs/>
              </w:rPr>
            </w:pPr>
          </w:p>
          <w:p w:rsidR="00996159" w:rsidRPr="004E491C" w:rsidRDefault="00996159" w:rsidP="004E491C">
            <w:pPr>
              <w:widowControl/>
              <w:suppressAutoHyphens w:val="0"/>
              <w:spacing w:line="288" w:lineRule="auto"/>
              <w:jc w:val="center"/>
              <w:rPr>
                <w:bCs/>
              </w:rPr>
            </w:pPr>
          </w:p>
          <w:p w:rsidR="00996159" w:rsidRPr="004E491C" w:rsidRDefault="00996159" w:rsidP="004E491C">
            <w:pPr>
              <w:widowControl/>
              <w:suppressAutoHyphens w:val="0"/>
              <w:spacing w:line="288" w:lineRule="auto"/>
              <w:jc w:val="center"/>
              <w:rPr>
                <w:bCs/>
              </w:rPr>
            </w:pPr>
            <w:r w:rsidRPr="004E491C">
              <w:rPr>
                <w:bCs/>
              </w:rPr>
              <w:t>2,60%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Hoteles, Hosterías, Hospedajes, Comedores y Restaurantes.</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3,00%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2,50%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Transporte.</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2,00%</w:t>
            </w:r>
          </w:p>
        </w:tc>
        <w:tc>
          <w:tcPr>
            <w:tcW w:w="1736" w:type="dxa"/>
            <w:vAlign w:val="center"/>
          </w:tcPr>
          <w:p w:rsidR="00996159" w:rsidRPr="004E491C" w:rsidRDefault="00996159" w:rsidP="004E491C">
            <w:pPr>
              <w:widowControl/>
              <w:suppressAutoHyphens w:val="0"/>
              <w:spacing w:line="288" w:lineRule="auto"/>
              <w:ind w:left="320"/>
              <w:jc w:val="center"/>
              <w:rPr>
                <w:bCs/>
              </w:rPr>
            </w:pPr>
            <w:r w:rsidRPr="004E491C">
              <w:rPr>
                <w:bCs/>
              </w:rPr>
              <w:t>exento</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Comunicaciones.</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4,00%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3,00%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Telefonía celular.</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6,50%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5,00%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Intermediación financiera.</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6,50%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6,50%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Servicios Financieros.</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8,00%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8,00%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Servicios financieros prestados directamente a consumidores finales.</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8,00%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8,00%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Préstamos, operaciones y servicios financieros en general realizados por entidades no sujetas al Régimen de la Ley de entidades financieras.</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8,00%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8,00%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Actividades Inmobiliarias, Empresariales y de Alquiler.</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5,00%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4,00%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Compañías de seguro.</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5,00%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4,00%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Productores asesores de seguro.</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t>5,00%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4,00%</w:t>
            </w:r>
          </w:p>
        </w:tc>
      </w:tr>
      <w:tr w:rsidR="00996159" w:rsidRPr="00E1755A" w:rsidTr="00996159">
        <w:trPr>
          <w:jc w:val="center"/>
        </w:trPr>
        <w:tc>
          <w:tcPr>
            <w:tcW w:w="3936" w:type="dxa"/>
            <w:vAlign w:val="bottom"/>
          </w:tcPr>
          <w:p w:rsidR="00996159" w:rsidRPr="004E491C" w:rsidRDefault="00996159" w:rsidP="004E491C">
            <w:pPr>
              <w:widowControl/>
              <w:suppressAutoHyphens w:val="0"/>
              <w:spacing w:line="288" w:lineRule="auto"/>
              <w:jc w:val="both"/>
              <w:rPr>
                <w:bCs/>
              </w:rPr>
            </w:pPr>
            <w:r w:rsidRPr="004E491C">
              <w:rPr>
                <w:bCs/>
              </w:rPr>
              <w:t>Máquinas de azar automáticas.</w:t>
            </w:r>
          </w:p>
          <w:p w:rsidR="00996159" w:rsidRPr="004E491C" w:rsidRDefault="00996159" w:rsidP="004E491C">
            <w:pPr>
              <w:widowControl/>
              <w:suppressAutoHyphens w:val="0"/>
              <w:spacing w:line="288" w:lineRule="auto"/>
              <w:jc w:val="both"/>
              <w:rPr>
                <w:bCs/>
              </w:rPr>
            </w:pPr>
            <w:r w:rsidRPr="004E491C">
              <w:rPr>
                <w:bCs/>
              </w:rPr>
              <w:t xml:space="preserve">Comprende explotación de máquinas tragamonedas y dispositivos tragamonedas y dispositivos electrónicos de juegos de azar a través </w:t>
            </w:r>
            <w:r w:rsidRPr="004E491C">
              <w:rPr>
                <w:bCs/>
              </w:rPr>
              <w:lastRenderedPageBreak/>
              <w:t>de concesión, provisión y/o cualquier otro tipo de modalidad.</w:t>
            </w:r>
          </w:p>
        </w:tc>
        <w:tc>
          <w:tcPr>
            <w:tcW w:w="1701" w:type="dxa"/>
            <w:vAlign w:val="center"/>
          </w:tcPr>
          <w:p w:rsidR="00996159" w:rsidRPr="004E491C" w:rsidRDefault="00996159" w:rsidP="004E491C">
            <w:pPr>
              <w:widowControl/>
              <w:tabs>
                <w:tab w:val="left" w:pos="758"/>
              </w:tabs>
              <w:suppressAutoHyphens w:val="0"/>
              <w:spacing w:line="288" w:lineRule="auto"/>
              <w:jc w:val="center"/>
              <w:rPr>
                <w:bCs/>
              </w:rPr>
            </w:pPr>
            <w:r w:rsidRPr="004E491C">
              <w:rPr>
                <w:bCs/>
              </w:rPr>
              <w:lastRenderedPageBreak/>
              <w:t>9,00%</w:t>
            </w:r>
          </w:p>
        </w:tc>
        <w:tc>
          <w:tcPr>
            <w:tcW w:w="1736" w:type="dxa"/>
            <w:vAlign w:val="center"/>
          </w:tcPr>
          <w:p w:rsidR="00996159" w:rsidRPr="004E491C" w:rsidRDefault="00996159" w:rsidP="004E491C">
            <w:pPr>
              <w:widowControl/>
              <w:suppressAutoHyphens w:val="0"/>
              <w:spacing w:line="288" w:lineRule="auto"/>
              <w:jc w:val="center"/>
              <w:rPr>
                <w:bCs/>
              </w:rPr>
            </w:pPr>
            <w:r w:rsidRPr="004E491C">
              <w:rPr>
                <w:bCs/>
              </w:rPr>
              <w:t>9,00%</w:t>
            </w:r>
          </w:p>
        </w:tc>
      </w:tr>
      <w:tr w:rsidR="00996159" w:rsidRPr="004E491C" w:rsidTr="00996159">
        <w:trPr>
          <w:jc w:val="center"/>
        </w:trPr>
        <w:tc>
          <w:tcPr>
            <w:tcW w:w="3936" w:type="dxa"/>
            <w:vAlign w:val="bottom"/>
          </w:tcPr>
          <w:p w:rsidR="00996159" w:rsidRPr="004E491C" w:rsidRDefault="00996159" w:rsidP="00996159">
            <w:pPr>
              <w:widowControl/>
              <w:suppressAutoHyphens w:val="0"/>
              <w:ind w:right="59"/>
              <w:jc w:val="both"/>
              <w:rPr>
                <w:bCs/>
              </w:rPr>
            </w:pPr>
            <w:r w:rsidRPr="004E491C">
              <w:rPr>
                <w:bCs/>
              </w:rPr>
              <w:lastRenderedPageBreak/>
              <w:t>Servicios relacionados con la actividad primaria, comprendiendo los</w:t>
            </w:r>
          </w:p>
          <w:p w:rsidR="00996159" w:rsidRPr="004E491C" w:rsidRDefault="00996159" w:rsidP="00996159">
            <w:pPr>
              <w:widowControl/>
              <w:suppressAutoHyphens w:val="0"/>
              <w:ind w:right="59"/>
              <w:jc w:val="both"/>
              <w:rPr>
                <w:bCs/>
              </w:rPr>
            </w:pPr>
            <w:r w:rsidRPr="004E491C">
              <w:rPr>
                <w:bCs/>
              </w:rPr>
              <w:t>siguientes:</w:t>
            </w:r>
          </w:p>
          <w:p w:rsidR="00996159" w:rsidRPr="004E491C" w:rsidRDefault="00996159" w:rsidP="00996159">
            <w:pPr>
              <w:widowControl/>
              <w:suppressAutoHyphens w:val="0"/>
              <w:ind w:right="59"/>
              <w:jc w:val="both"/>
              <w:rPr>
                <w:bCs/>
              </w:rPr>
            </w:pPr>
            <w:r w:rsidRPr="004E491C">
              <w:rPr>
                <w:bCs/>
              </w:rPr>
              <w:t>-Servicios de labranza y siembra;</w:t>
            </w:r>
          </w:p>
          <w:p w:rsidR="00996159" w:rsidRPr="004E491C" w:rsidRDefault="00996159" w:rsidP="00996159">
            <w:pPr>
              <w:widowControl/>
              <w:suppressAutoHyphens w:val="0"/>
              <w:ind w:right="59"/>
              <w:jc w:val="both"/>
              <w:rPr>
                <w:bCs/>
              </w:rPr>
            </w:pPr>
            <w:r w:rsidRPr="004E491C">
              <w:rPr>
                <w:bCs/>
              </w:rPr>
              <w:t>-Servicios de pulverización,</w:t>
            </w:r>
          </w:p>
          <w:p w:rsidR="00996159" w:rsidRPr="004E491C" w:rsidRDefault="00996159" w:rsidP="00996159">
            <w:pPr>
              <w:widowControl/>
              <w:suppressAutoHyphens w:val="0"/>
              <w:ind w:right="59"/>
              <w:jc w:val="both"/>
              <w:rPr>
                <w:bCs/>
              </w:rPr>
            </w:pPr>
            <w:r w:rsidRPr="004E491C">
              <w:rPr>
                <w:bCs/>
              </w:rPr>
              <w:t>desinfección y fumigación;</w:t>
            </w:r>
          </w:p>
          <w:p w:rsidR="00996159" w:rsidRPr="004E491C" w:rsidRDefault="00996159" w:rsidP="00996159">
            <w:pPr>
              <w:widowControl/>
              <w:suppressAutoHyphens w:val="0"/>
              <w:ind w:right="59"/>
              <w:jc w:val="both"/>
              <w:rPr>
                <w:bCs/>
              </w:rPr>
            </w:pPr>
            <w:r w:rsidRPr="004E491C">
              <w:rPr>
                <w:bCs/>
              </w:rPr>
              <w:t>-Servicios de cosecha de granos y forrajes</w:t>
            </w:r>
          </w:p>
          <w:p w:rsidR="00996159" w:rsidRPr="004E491C" w:rsidRDefault="00996159" w:rsidP="00996159">
            <w:pPr>
              <w:widowControl/>
              <w:suppressAutoHyphens w:val="0"/>
              <w:ind w:right="59"/>
              <w:jc w:val="both"/>
              <w:rPr>
                <w:bCs/>
              </w:rPr>
            </w:pPr>
            <w:r w:rsidRPr="004E491C">
              <w:rPr>
                <w:bCs/>
              </w:rPr>
              <w:t>-Servicios de maquinarias agrícolas</w:t>
            </w:r>
          </w:p>
          <w:p w:rsidR="00996159" w:rsidRPr="004E491C" w:rsidRDefault="00996159" w:rsidP="00996159">
            <w:pPr>
              <w:widowControl/>
              <w:suppressAutoHyphens w:val="0"/>
              <w:ind w:right="59"/>
              <w:jc w:val="both"/>
              <w:rPr>
                <w:bCs/>
              </w:rPr>
            </w:pPr>
            <w:r w:rsidRPr="004E491C">
              <w:rPr>
                <w:bCs/>
              </w:rPr>
              <w:t>-Albergue y cuidado de animales de terceros.</w:t>
            </w:r>
          </w:p>
        </w:tc>
        <w:tc>
          <w:tcPr>
            <w:tcW w:w="1701" w:type="dxa"/>
            <w:vAlign w:val="center"/>
          </w:tcPr>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p>
          <w:p w:rsidR="00996159" w:rsidRPr="004E491C" w:rsidRDefault="00996159" w:rsidP="00996159">
            <w:pPr>
              <w:widowControl/>
              <w:tabs>
                <w:tab w:val="left" w:pos="758"/>
              </w:tabs>
              <w:suppressAutoHyphens w:val="0"/>
              <w:jc w:val="center"/>
              <w:rPr>
                <w:bCs/>
              </w:rPr>
            </w:pPr>
            <w:r w:rsidRPr="004E491C">
              <w:rPr>
                <w:bCs/>
              </w:rPr>
              <w:t>2,00%</w:t>
            </w:r>
          </w:p>
        </w:tc>
        <w:tc>
          <w:tcPr>
            <w:tcW w:w="1736" w:type="dxa"/>
            <w:vAlign w:val="center"/>
          </w:tcPr>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p>
          <w:p w:rsidR="00996159" w:rsidRPr="004E491C" w:rsidRDefault="00996159" w:rsidP="00996159">
            <w:pPr>
              <w:widowControl/>
              <w:suppressAutoHyphens w:val="0"/>
              <w:jc w:val="center"/>
              <w:rPr>
                <w:bCs/>
              </w:rPr>
            </w:pPr>
            <w:r w:rsidRPr="004E491C">
              <w:rPr>
                <w:bCs/>
              </w:rPr>
              <w:t>2,00%</w:t>
            </w:r>
          </w:p>
        </w:tc>
      </w:tr>
      <w:tr w:rsidR="00996159" w:rsidRPr="004E491C" w:rsidTr="00996159">
        <w:trPr>
          <w:jc w:val="center"/>
        </w:trPr>
        <w:tc>
          <w:tcPr>
            <w:tcW w:w="3936" w:type="dxa"/>
            <w:vAlign w:val="bottom"/>
          </w:tcPr>
          <w:p w:rsidR="00996159" w:rsidRPr="004E491C" w:rsidRDefault="00996159" w:rsidP="00996159">
            <w:pPr>
              <w:widowControl/>
              <w:suppressAutoHyphens w:val="0"/>
              <w:ind w:right="59"/>
              <w:jc w:val="both"/>
              <w:rPr>
                <w:bCs/>
              </w:rPr>
            </w:pPr>
            <w:r w:rsidRPr="004E491C">
              <w:rPr>
                <w:bCs/>
              </w:rPr>
              <w:t>Otros Servicios relacionados con la actividad primaria.</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3,00%</w:t>
            </w:r>
          </w:p>
        </w:tc>
        <w:tc>
          <w:tcPr>
            <w:tcW w:w="1736" w:type="dxa"/>
            <w:vAlign w:val="center"/>
          </w:tcPr>
          <w:p w:rsidR="00996159" w:rsidRPr="004E491C" w:rsidRDefault="00996159" w:rsidP="00996159">
            <w:pPr>
              <w:widowControl/>
              <w:suppressAutoHyphens w:val="0"/>
              <w:jc w:val="center"/>
              <w:rPr>
                <w:bCs/>
              </w:rPr>
            </w:pPr>
            <w:r w:rsidRPr="004E491C">
              <w:rPr>
                <w:bCs/>
              </w:rPr>
              <w:t>3,00%</w:t>
            </w:r>
          </w:p>
        </w:tc>
      </w:tr>
      <w:tr w:rsidR="00996159" w:rsidRPr="004E491C" w:rsidTr="00996159">
        <w:trPr>
          <w:jc w:val="center"/>
        </w:trPr>
        <w:tc>
          <w:tcPr>
            <w:tcW w:w="3936" w:type="dxa"/>
            <w:vAlign w:val="bottom"/>
          </w:tcPr>
          <w:p w:rsidR="00996159" w:rsidRPr="004E491C" w:rsidRDefault="00996159" w:rsidP="00996159">
            <w:pPr>
              <w:widowControl/>
              <w:suppressAutoHyphens w:val="0"/>
              <w:ind w:right="59"/>
              <w:jc w:val="both"/>
              <w:rPr>
                <w:bCs/>
              </w:rPr>
            </w:pPr>
            <w:r w:rsidRPr="004E491C">
              <w:rPr>
                <w:bCs/>
              </w:rPr>
              <w:t xml:space="preserve">Arrendamientos de Inmuebles rurales y/o </w:t>
            </w:r>
            <w:proofErr w:type="spellStart"/>
            <w:r w:rsidRPr="004E491C">
              <w:rPr>
                <w:bCs/>
              </w:rPr>
              <w:t>subrurales</w:t>
            </w:r>
            <w:proofErr w:type="spellEnd"/>
            <w:r w:rsidRPr="004E491C">
              <w:rPr>
                <w:bCs/>
              </w:rPr>
              <w:t>.</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4,50%</w:t>
            </w:r>
          </w:p>
        </w:tc>
        <w:tc>
          <w:tcPr>
            <w:tcW w:w="1736" w:type="dxa"/>
            <w:vAlign w:val="center"/>
          </w:tcPr>
          <w:p w:rsidR="00996159" w:rsidRPr="004E491C" w:rsidRDefault="00996159" w:rsidP="00996159">
            <w:pPr>
              <w:widowControl/>
              <w:suppressAutoHyphens w:val="0"/>
              <w:jc w:val="center"/>
              <w:rPr>
                <w:bCs/>
              </w:rPr>
            </w:pPr>
            <w:r w:rsidRPr="004E491C">
              <w:rPr>
                <w:bCs/>
              </w:rPr>
              <w:t>4,00%</w:t>
            </w:r>
          </w:p>
        </w:tc>
      </w:tr>
      <w:tr w:rsidR="00996159" w:rsidRPr="004E491C" w:rsidTr="00996159">
        <w:trPr>
          <w:jc w:val="center"/>
        </w:trPr>
        <w:tc>
          <w:tcPr>
            <w:tcW w:w="3936" w:type="dxa"/>
            <w:vAlign w:val="bottom"/>
          </w:tcPr>
          <w:p w:rsidR="00996159" w:rsidRPr="004E491C" w:rsidRDefault="00996159" w:rsidP="00996159">
            <w:pPr>
              <w:widowControl/>
              <w:suppressAutoHyphens w:val="0"/>
              <w:ind w:right="59"/>
              <w:jc w:val="both"/>
              <w:rPr>
                <w:bCs/>
              </w:rPr>
            </w:pPr>
            <w:r w:rsidRPr="004E491C">
              <w:rPr>
                <w:bCs/>
              </w:rPr>
              <w:t>Servicios de agencias que comercialicen billetes de lotería y juegos de azar autorizados.</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3,50%</w:t>
            </w:r>
          </w:p>
        </w:tc>
        <w:tc>
          <w:tcPr>
            <w:tcW w:w="1736" w:type="dxa"/>
            <w:vAlign w:val="center"/>
          </w:tcPr>
          <w:p w:rsidR="00996159" w:rsidRPr="004E491C" w:rsidRDefault="00996159" w:rsidP="00996159">
            <w:pPr>
              <w:widowControl/>
              <w:suppressAutoHyphens w:val="0"/>
              <w:jc w:val="center"/>
              <w:rPr>
                <w:bCs/>
              </w:rPr>
            </w:pPr>
            <w:r w:rsidRPr="004E491C">
              <w:rPr>
                <w:bCs/>
              </w:rPr>
              <w:t>3,50%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Servicios sociales y de salud.</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4,75%</w:t>
            </w:r>
          </w:p>
        </w:tc>
        <w:tc>
          <w:tcPr>
            <w:tcW w:w="1736" w:type="dxa"/>
            <w:vAlign w:val="center"/>
          </w:tcPr>
          <w:p w:rsidR="00996159" w:rsidRPr="004E491C" w:rsidRDefault="00996159" w:rsidP="00996159">
            <w:pPr>
              <w:widowControl/>
              <w:suppressAutoHyphens w:val="0"/>
              <w:jc w:val="center"/>
              <w:rPr>
                <w:bCs/>
              </w:rPr>
            </w:pPr>
            <w:r w:rsidRPr="004E491C">
              <w:rPr>
                <w:bCs/>
              </w:rPr>
              <w:t>4,00%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Servicios de Internación.</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2,50%</w:t>
            </w:r>
          </w:p>
        </w:tc>
        <w:tc>
          <w:tcPr>
            <w:tcW w:w="1736" w:type="dxa"/>
            <w:vAlign w:val="center"/>
          </w:tcPr>
          <w:p w:rsidR="00996159" w:rsidRPr="004E491C" w:rsidRDefault="00996159" w:rsidP="00996159">
            <w:pPr>
              <w:widowControl/>
              <w:suppressAutoHyphens w:val="0"/>
              <w:jc w:val="center"/>
              <w:rPr>
                <w:bCs/>
              </w:rPr>
            </w:pPr>
            <w:r w:rsidRPr="004E491C">
              <w:rPr>
                <w:bCs/>
              </w:rPr>
              <w:t>2,00%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Servicios de hospital de día.</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2,50%</w:t>
            </w:r>
          </w:p>
        </w:tc>
        <w:tc>
          <w:tcPr>
            <w:tcW w:w="1736" w:type="dxa"/>
            <w:vAlign w:val="center"/>
          </w:tcPr>
          <w:p w:rsidR="00996159" w:rsidRPr="004E491C" w:rsidRDefault="00996159" w:rsidP="00996159">
            <w:pPr>
              <w:widowControl/>
              <w:suppressAutoHyphens w:val="0"/>
              <w:jc w:val="center"/>
              <w:rPr>
                <w:bCs/>
              </w:rPr>
            </w:pPr>
            <w:r w:rsidRPr="004E491C">
              <w:rPr>
                <w:bCs/>
              </w:rPr>
              <w:t>2,00%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 xml:space="preserve">Servicios Hospitalarios </w:t>
            </w:r>
            <w:proofErr w:type="spellStart"/>
            <w:r w:rsidRPr="004E491C">
              <w:rPr>
                <w:bCs/>
              </w:rPr>
              <w:t>n.c</w:t>
            </w:r>
            <w:proofErr w:type="spellEnd"/>
            <w:r w:rsidRPr="004E491C">
              <w:rPr>
                <w:bCs/>
              </w:rPr>
              <w:t>.</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2,50%</w:t>
            </w:r>
          </w:p>
        </w:tc>
        <w:tc>
          <w:tcPr>
            <w:tcW w:w="1736" w:type="dxa"/>
            <w:vAlign w:val="center"/>
          </w:tcPr>
          <w:p w:rsidR="00996159" w:rsidRPr="004E491C" w:rsidRDefault="00996159" w:rsidP="00996159">
            <w:pPr>
              <w:widowControl/>
              <w:suppressAutoHyphens w:val="0"/>
              <w:jc w:val="center"/>
              <w:rPr>
                <w:bCs/>
              </w:rPr>
            </w:pPr>
            <w:r w:rsidRPr="004E491C">
              <w:rPr>
                <w:bCs/>
              </w:rPr>
              <w:t>2,00%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Servicios de atención ambulatoria.</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2,50%</w:t>
            </w:r>
          </w:p>
        </w:tc>
        <w:tc>
          <w:tcPr>
            <w:tcW w:w="1736" w:type="dxa"/>
            <w:vAlign w:val="center"/>
          </w:tcPr>
          <w:p w:rsidR="00996159" w:rsidRPr="004E491C" w:rsidRDefault="00996159" w:rsidP="00996159">
            <w:pPr>
              <w:widowControl/>
              <w:suppressAutoHyphens w:val="0"/>
              <w:jc w:val="center"/>
              <w:rPr>
                <w:bCs/>
              </w:rPr>
            </w:pPr>
            <w:r w:rsidRPr="004E491C">
              <w:rPr>
                <w:bCs/>
              </w:rPr>
              <w:t>2,00%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Servicios de atención domiciliaria programada.</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2,50%</w:t>
            </w:r>
          </w:p>
        </w:tc>
        <w:tc>
          <w:tcPr>
            <w:tcW w:w="1736" w:type="dxa"/>
            <w:vAlign w:val="center"/>
          </w:tcPr>
          <w:p w:rsidR="00996159" w:rsidRPr="004E491C" w:rsidRDefault="00996159" w:rsidP="00996159">
            <w:pPr>
              <w:widowControl/>
              <w:suppressAutoHyphens w:val="0"/>
              <w:jc w:val="center"/>
              <w:rPr>
                <w:bCs/>
              </w:rPr>
            </w:pPr>
            <w:r w:rsidRPr="004E491C">
              <w:rPr>
                <w:bCs/>
              </w:rPr>
              <w:t>2,00%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Servicios de diagnóstico.</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2,50%</w:t>
            </w:r>
          </w:p>
        </w:tc>
        <w:tc>
          <w:tcPr>
            <w:tcW w:w="1736" w:type="dxa"/>
            <w:vAlign w:val="center"/>
          </w:tcPr>
          <w:p w:rsidR="00996159" w:rsidRPr="004E491C" w:rsidRDefault="00996159" w:rsidP="00996159">
            <w:pPr>
              <w:widowControl/>
              <w:suppressAutoHyphens w:val="0"/>
              <w:jc w:val="center"/>
              <w:rPr>
                <w:bCs/>
              </w:rPr>
            </w:pPr>
            <w:r w:rsidRPr="004E491C">
              <w:rPr>
                <w:bCs/>
              </w:rPr>
              <w:t>2,00%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Servicios de Tratamiento.</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2,50%</w:t>
            </w:r>
          </w:p>
        </w:tc>
        <w:tc>
          <w:tcPr>
            <w:tcW w:w="1736" w:type="dxa"/>
            <w:vAlign w:val="center"/>
          </w:tcPr>
          <w:p w:rsidR="00996159" w:rsidRPr="004E491C" w:rsidRDefault="00996159" w:rsidP="00996159">
            <w:pPr>
              <w:widowControl/>
              <w:suppressAutoHyphens w:val="0"/>
              <w:jc w:val="center"/>
              <w:rPr>
                <w:bCs/>
              </w:rPr>
            </w:pPr>
            <w:r w:rsidRPr="004E491C">
              <w:rPr>
                <w:bCs/>
              </w:rPr>
              <w:t>2,00%</w:t>
            </w:r>
          </w:p>
        </w:tc>
      </w:tr>
      <w:tr w:rsidR="00996159" w:rsidRPr="004E491C" w:rsidTr="00996159">
        <w:trPr>
          <w:jc w:val="center"/>
        </w:trPr>
        <w:tc>
          <w:tcPr>
            <w:tcW w:w="3936" w:type="dxa"/>
            <w:vAlign w:val="bottom"/>
          </w:tcPr>
          <w:p w:rsidR="00996159" w:rsidRPr="004E491C" w:rsidRDefault="00996159" w:rsidP="00996159">
            <w:pPr>
              <w:widowControl/>
              <w:suppressAutoHyphens w:val="0"/>
              <w:jc w:val="both"/>
              <w:rPr>
                <w:bCs/>
              </w:rPr>
            </w:pPr>
            <w:r w:rsidRPr="004E491C">
              <w:rPr>
                <w:bCs/>
              </w:rPr>
              <w:t>Servicios de Emergencias Traslados.</w:t>
            </w:r>
          </w:p>
        </w:tc>
        <w:tc>
          <w:tcPr>
            <w:tcW w:w="1701" w:type="dxa"/>
            <w:vAlign w:val="center"/>
          </w:tcPr>
          <w:p w:rsidR="00996159" w:rsidRPr="004E491C" w:rsidRDefault="00996159" w:rsidP="00996159">
            <w:pPr>
              <w:widowControl/>
              <w:tabs>
                <w:tab w:val="left" w:pos="758"/>
              </w:tabs>
              <w:suppressAutoHyphens w:val="0"/>
              <w:jc w:val="center"/>
              <w:rPr>
                <w:bCs/>
              </w:rPr>
            </w:pPr>
            <w:r w:rsidRPr="004E491C">
              <w:rPr>
                <w:bCs/>
              </w:rPr>
              <w:t>2,50%</w:t>
            </w:r>
          </w:p>
        </w:tc>
        <w:tc>
          <w:tcPr>
            <w:tcW w:w="1736" w:type="dxa"/>
            <w:vAlign w:val="center"/>
          </w:tcPr>
          <w:p w:rsidR="00996159" w:rsidRPr="004E491C" w:rsidRDefault="00996159" w:rsidP="00996159">
            <w:pPr>
              <w:widowControl/>
              <w:suppressAutoHyphens w:val="0"/>
              <w:jc w:val="center"/>
              <w:rPr>
                <w:bCs/>
              </w:rPr>
            </w:pPr>
            <w:r w:rsidRPr="004E491C">
              <w:rPr>
                <w:bCs/>
              </w:rPr>
              <w:t>2,00%</w:t>
            </w:r>
          </w:p>
        </w:tc>
      </w:tr>
    </w:tbl>
    <w:p w:rsidR="00996159" w:rsidRPr="004E491C" w:rsidRDefault="00996159" w:rsidP="00996159">
      <w:pPr>
        <w:widowControl/>
        <w:suppressAutoHyphens w:val="0"/>
        <w:spacing w:line="259" w:lineRule="auto"/>
        <w:ind w:left="720" w:firstLine="720"/>
        <w:jc w:val="center"/>
        <w:rPr>
          <w:bCs/>
        </w:rPr>
      </w:pPr>
    </w:p>
    <w:p w:rsidR="00996159" w:rsidRPr="004E491C" w:rsidRDefault="00996159" w:rsidP="00996159">
      <w:pPr>
        <w:widowControl/>
        <w:suppressAutoHyphens w:val="0"/>
        <w:spacing w:line="288" w:lineRule="auto"/>
        <w:ind w:left="720" w:firstLine="720"/>
        <w:jc w:val="center"/>
        <w:rPr>
          <w:bCs/>
        </w:rPr>
      </w:pPr>
    </w:p>
    <w:p w:rsidR="00996159" w:rsidRPr="004E491C" w:rsidRDefault="00996159" w:rsidP="004E491C">
      <w:pPr>
        <w:widowControl/>
        <w:numPr>
          <w:ilvl w:val="0"/>
          <w:numId w:val="2"/>
        </w:numPr>
        <w:tabs>
          <w:tab w:val="left" w:pos="311"/>
        </w:tabs>
        <w:suppressAutoHyphens w:val="0"/>
        <w:spacing w:after="160" w:line="360" w:lineRule="auto"/>
        <w:ind w:left="6" w:hanging="6"/>
        <w:jc w:val="both"/>
        <w:rPr>
          <w:bCs/>
        </w:rPr>
      </w:pPr>
      <w:proofErr w:type="spellStart"/>
      <w:r w:rsidRPr="004E491C">
        <w:rPr>
          <w:bCs/>
        </w:rPr>
        <w:t>Establécese</w:t>
      </w:r>
      <w:proofErr w:type="spellEnd"/>
      <w:r w:rsidRPr="004E491C">
        <w:rPr>
          <w:bCs/>
        </w:rPr>
        <w:t xml:space="preserve"> las siguientes alícuotas especiales del Impuesto sobre los Ingresos Brutos para los ingresos atribuibles a la actividad de Industria Manufacturera, en función de la categoría que corresponda al contribuyente según lo dispuesto en el Artículo 191° del Código Fiscal (T.O. 2018), del siguiente modo:</w:t>
      </w:r>
    </w:p>
    <w:p w:rsidR="00996159" w:rsidRPr="004E491C" w:rsidRDefault="00996159" w:rsidP="004E491C">
      <w:pPr>
        <w:widowControl/>
        <w:tabs>
          <w:tab w:val="left" w:pos="826"/>
        </w:tabs>
        <w:suppressAutoHyphens w:val="0"/>
        <w:spacing w:line="360" w:lineRule="auto"/>
        <w:rPr>
          <w:bCs/>
        </w:rPr>
      </w:pPr>
    </w:p>
    <w:p w:rsidR="00996159" w:rsidRPr="004E491C" w:rsidRDefault="00996159" w:rsidP="004E491C">
      <w:pPr>
        <w:widowControl/>
        <w:numPr>
          <w:ilvl w:val="1"/>
          <w:numId w:val="2"/>
        </w:numPr>
        <w:tabs>
          <w:tab w:val="left" w:pos="826"/>
        </w:tabs>
        <w:suppressAutoHyphens w:val="0"/>
        <w:spacing w:after="160" w:line="360" w:lineRule="auto"/>
        <w:rPr>
          <w:bCs/>
        </w:rPr>
      </w:pPr>
      <w:r w:rsidRPr="004E491C">
        <w:rPr>
          <w:bCs/>
        </w:rPr>
        <w:t>del uno por ciento (1%) para los contribuyentes cuya categoría sea Medianos 1 para el Ejercicio Fiscal 2021.</w:t>
      </w:r>
    </w:p>
    <w:p w:rsidR="00996159" w:rsidRPr="004E491C" w:rsidRDefault="00996159" w:rsidP="004E491C">
      <w:pPr>
        <w:widowControl/>
        <w:numPr>
          <w:ilvl w:val="1"/>
          <w:numId w:val="2"/>
        </w:numPr>
        <w:tabs>
          <w:tab w:val="left" w:pos="826"/>
        </w:tabs>
        <w:suppressAutoHyphens w:val="0"/>
        <w:spacing w:after="160" w:line="360" w:lineRule="auto"/>
        <w:rPr>
          <w:bCs/>
        </w:rPr>
      </w:pPr>
      <w:r w:rsidRPr="004E491C">
        <w:rPr>
          <w:bCs/>
        </w:rPr>
        <w:lastRenderedPageBreak/>
        <w:t>del uno con veinticinco centésimas por ciento (1,25%) para el Ejercicio Fiscal 2021, para los contribuyentes cuya categoría sea Medianos 2.</w:t>
      </w:r>
    </w:p>
    <w:p w:rsidR="00996159" w:rsidRPr="004E491C" w:rsidRDefault="00996159" w:rsidP="004E491C">
      <w:pPr>
        <w:widowControl/>
        <w:suppressAutoHyphens w:val="0"/>
        <w:spacing w:line="360" w:lineRule="auto"/>
        <w:rPr>
          <w:bCs/>
        </w:rPr>
      </w:pPr>
    </w:p>
    <w:p w:rsidR="00996159" w:rsidRPr="004E491C" w:rsidRDefault="00996159" w:rsidP="004E491C">
      <w:pPr>
        <w:widowControl/>
        <w:numPr>
          <w:ilvl w:val="0"/>
          <w:numId w:val="2"/>
        </w:numPr>
        <w:tabs>
          <w:tab w:val="left" w:pos="382"/>
        </w:tabs>
        <w:suppressAutoHyphens w:val="0"/>
        <w:spacing w:after="160" w:line="360" w:lineRule="auto"/>
        <w:ind w:left="6" w:hanging="6"/>
        <w:jc w:val="both"/>
        <w:rPr>
          <w:bCs/>
        </w:rPr>
      </w:pPr>
      <w:r w:rsidRPr="004E491C">
        <w:rPr>
          <w:bCs/>
        </w:rPr>
        <w:t xml:space="preserve"> </w:t>
      </w:r>
      <w:proofErr w:type="spellStart"/>
      <w:r w:rsidRPr="004E491C">
        <w:rPr>
          <w:bCs/>
        </w:rPr>
        <w:t>Establécese</w:t>
      </w:r>
      <w:proofErr w:type="spellEnd"/>
      <w:r w:rsidRPr="004E491C">
        <w:rPr>
          <w:bCs/>
        </w:rPr>
        <w:t xml:space="preserve"> las siguientes alícuotas especiales del Impuesto sobre los Ingresos Brutos para los ingresos atribuibles a la actividad de “Comercio Mayorista y Minorista” en función de la categoría que corresponda al contribuyente según lo dispuesto en el Artículo 191° del Código Fiscal (T.O. 2018), del siguiente modo:</w:t>
      </w:r>
    </w:p>
    <w:p w:rsidR="00996159" w:rsidRPr="004E491C" w:rsidRDefault="00996159" w:rsidP="004E491C">
      <w:pPr>
        <w:widowControl/>
        <w:tabs>
          <w:tab w:val="left" w:pos="382"/>
        </w:tabs>
        <w:suppressAutoHyphens w:val="0"/>
        <w:spacing w:line="360" w:lineRule="auto"/>
        <w:ind w:left="6"/>
        <w:jc w:val="both"/>
        <w:rPr>
          <w:bCs/>
        </w:rPr>
      </w:pPr>
    </w:p>
    <w:p w:rsidR="00996159" w:rsidRPr="004E491C" w:rsidRDefault="00996159" w:rsidP="004E491C">
      <w:pPr>
        <w:widowControl/>
        <w:numPr>
          <w:ilvl w:val="1"/>
          <w:numId w:val="2"/>
        </w:numPr>
        <w:tabs>
          <w:tab w:val="left" w:pos="848"/>
        </w:tabs>
        <w:suppressAutoHyphens w:val="0"/>
        <w:spacing w:after="160" w:line="360" w:lineRule="auto"/>
        <w:ind w:left="566" w:firstLine="1"/>
        <w:jc w:val="both"/>
        <w:rPr>
          <w:bCs/>
        </w:rPr>
      </w:pPr>
      <w:r w:rsidRPr="004E491C">
        <w:rPr>
          <w:bCs/>
        </w:rPr>
        <w:t>del tres con cincuenta centésimas por ciento (3,50%), para las categorías de Micro y Pequeños contribuyentes, siempre que hubieran presentado y pagado dentro del mes de vencimiento, las obligaciones mensuales del impuesto de los períodos correspondientes al año calendario inmediato anterior, y que no registre ajustes de fiscalización en el impuesto en los últimos tres (3) años calendarios. Los ajustes de fiscalización indicados deben tratarse de decisiones administrativas firmes, ya sea por estar consentidas por el contribuyente, expresa o tácitamente, o por haberse agotado la vía administrativa mediante la interposición de los medios recursivos establecidos por el Código Fiscal para el procedimiento administrativo tributario.</w:t>
      </w:r>
    </w:p>
    <w:p w:rsidR="00996159" w:rsidRPr="004E491C" w:rsidRDefault="00996159" w:rsidP="004E491C">
      <w:pPr>
        <w:widowControl/>
        <w:suppressAutoHyphens w:val="0"/>
        <w:spacing w:line="360" w:lineRule="auto"/>
        <w:rPr>
          <w:bCs/>
        </w:rPr>
      </w:pPr>
    </w:p>
    <w:p w:rsidR="00996159" w:rsidRPr="004E491C" w:rsidRDefault="00996159" w:rsidP="004E491C">
      <w:pPr>
        <w:widowControl/>
        <w:numPr>
          <w:ilvl w:val="1"/>
          <w:numId w:val="2"/>
        </w:numPr>
        <w:tabs>
          <w:tab w:val="left" w:pos="852"/>
        </w:tabs>
        <w:suppressAutoHyphens w:val="0"/>
        <w:spacing w:after="160" w:line="360" w:lineRule="auto"/>
        <w:ind w:left="566" w:firstLine="1"/>
        <w:jc w:val="both"/>
        <w:rPr>
          <w:bCs/>
        </w:rPr>
      </w:pPr>
      <w:r w:rsidRPr="004E491C">
        <w:rPr>
          <w:bCs/>
        </w:rPr>
        <w:t>del cuatro por ciento (4%), para las categorías de Micro y Pequeños contribuyentes, cuando no cumplan los requisitos de buena conducta tributaria requeridos en el inciso anterior.</w:t>
      </w:r>
    </w:p>
    <w:p w:rsidR="00996159" w:rsidRPr="004E491C" w:rsidRDefault="00996159" w:rsidP="004E491C">
      <w:pPr>
        <w:widowControl/>
        <w:suppressAutoHyphens w:val="0"/>
        <w:spacing w:after="160" w:line="360" w:lineRule="auto"/>
        <w:ind w:left="720"/>
        <w:contextualSpacing/>
        <w:rPr>
          <w:bCs/>
        </w:rPr>
      </w:pPr>
    </w:p>
    <w:p w:rsidR="00996159" w:rsidRPr="004E491C" w:rsidRDefault="00996159" w:rsidP="004E491C">
      <w:pPr>
        <w:widowControl/>
        <w:numPr>
          <w:ilvl w:val="1"/>
          <w:numId w:val="2"/>
        </w:numPr>
        <w:tabs>
          <w:tab w:val="left" w:pos="848"/>
        </w:tabs>
        <w:suppressAutoHyphens w:val="0"/>
        <w:spacing w:after="160" w:line="360" w:lineRule="auto"/>
        <w:ind w:left="566" w:firstLine="1"/>
        <w:jc w:val="both"/>
        <w:rPr>
          <w:bCs/>
        </w:rPr>
      </w:pPr>
      <w:r w:rsidRPr="004E491C">
        <w:rPr>
          <w:bCs/>
        </w:rPr>
        <w:t xml:space="preserve">del cuatro por ciento (4%), para las categorías de Medianos 1 y Medianos 2, siempre que hubieran presentado y pagado dentro del mes de vencimiento, las obligaciones mensuales del impuesto de los períodos correspondientes al año calendario inmediato anterior, y que no registren ajustes de fiscalización en el impuesto en los últimos tres (3) años calendarios. Los ajustes de fiscalización </w:t>
      </w:r>
      <w:r w:rsidRPr="004E491C">
        <w:rPr>
          <w:bCs/>
        </w:rPr>
        <w:lastRenderedPageBreak/>
        <w:t>indicados deben tratarse de decisiones administrativas firmes, ya sea por estar consentidas por el contribuyente, expresa o tácitamente, o por haberse agotado la vía administrativa mediante la interposición de los medios recursivos establecidos por el Código Fiscal para el procedimiento administrativo tributario.</w:t>
      </w:r>
    </w:p>
    <w:p w:rsidR="00996159" w:rsidRPr="004E491C" w:rsidRDefault="00996159" w:rsidP="004E491C">
      <w:pPr>
        <w:widowControl/>
        <w:suppressAutoHyphens w:val="0"/>
        <w:spacing w:after="160" w:line="360" w:lineRule="auto"/>
        <w:ind w:left="720"/>
        <w:contextualSpacing/>
        <w:rPr>
          <w:bCs/>
        </w:rPr>
      </w:pPr>
    </w:p>
    <w:p w:rsidR="00996159" w:rsidRPr="004E491C" w:rsidRDefault="00996159" w:rsidP="004E491C">
      <w:pPr>
        <w:widowControl/>
        <w:numPr>
          <w:ilvl w:val="1"/>
          <w:numId w:val="2"/>
        </w:numPr>
        <w:tabs>
          <w:tab w:val="left" w:pos="848"/>
        </w:tabs>
        <w:suppressAutoHyphens w:val="0"/>
        <w:spacing w:after="160" w:line="360" w:lineRule="auto"/>
        <w:ind w:left="566" w:firstLine="1"/>
        <w:jc w:val="both"/>
        <w:rPr>
          <w:bCs/>
        </w:rPr>
      </w:pPr>
      <w:r w:rsidRPr="004E491C">
        <w:rPr>
          <w:bCs/>
        </w:rPr>
        <w:t>del cuatro con cincuenta centésimas por ciento (4,50%), para las categorías de Medianos 1 y Medianos 2, cuando no cumplan los requisitos de buena conducta tributaria requeridos en el inciso anterior.</w:t>
      </w:r>
    </w:p>
    <w:p w:rsidR="00996159" w:rsidRPr="004E491C" w:rsidRDefault="00996159" w:rsidP="004E491C">
      <w:pPr>
        <w:widowControl/>
        <w:suppressAutoHyphens w:val="0"/>
        <w:spacing w:line="360" w:lineRule="auto"/>
        <w:ind w:left="720" w:hanging="720"/>
        <w:rPr>
          <w:bCs/>
        </w:rPr>
      </w:pPr>
    </w:p>
    <w:p w:rsidR="00996159" w:rsidRPr="004E491C" w:rsidRDefault="00996159" w:rsidP="004E491C">
      <w:pPr>
        <w:widowControl/>
        <w:suppressAutoHyphens w:val="0"/>
        <w:spacing w:line="360" w:lineRule="auto"/>
        <w:jc w:val="both"/>
        <w:rPr>
          <w:bCs/>
        </w:rPr>
      </w:pPr>
      <w:r w:rsidRPr="004E491C">
        <w:rPr>
          <w:bCs/>
        </w:rPr>
        <w:t>Los ingresos atribuibles a servicios en general, cuando no hayan sido detallados en la tabla de alícuotas del presente artículo, tendrán el tratamiento dispuesto para el sector de Actividades Inmobiliarias, Empresariales y de Alquiler.</w:t>
      </w:r>
    </w:p>
    <w:p w:rsidR="00996159" w:rsidRPr="004E491C" w:rsidRDefault="00996159" w:rsidP="004E491C">
      <w:pPr>
        <w:widowControl/>
        <w:suppressAutoHyphens w:val="0"/>
        <w:spacing w:line="360" w:lineRule="auto"/>
        <w:jc w:val="both"/>
        <w:rPr>
          <w:bCs/>
        </w:rPr>
      </w:pPr>
      <w:r w:rsidRPr="004E491C">
        <w:rPr>
          <w:bCs/>
        </w:rPr>
        <w:t>Los ingresos atribuibles a ventas realizadas por contribuyentes del sector industrial a consumidores finales, tendrán el tratamiento dispuesto para el sector Comercio.</w:t>
      </w:r>
    </w:p>
    <w:p w:rsidR="00996159" w:rsidRPr="004E491C" w:rsidRDefault="00996159" w:rsidP="004E491C">
      <w:pPr>
        <w:widowControl/>
        <w:suppressAutoHyphens w:val="0"/>
        <w:spacing w:line="360" w:lineRule="auto"/>
        <w:rPr>
          <w:bCs/>
        </w:rPr>
      </w:pPr>
    </w:p>
    <w:p w:rsidR="00996159" w:rsidRPr="004E491C" w:rsidRDefault="00996159" w:rsidP="004E491C">
      <w:pPr>
        <w:widowControl/>
        <w:suppressAutoHyphens w:val="0"/>
        <w:spacing w:line="360" w:lineRule="auto"/>
        <w:jc w:val="both"/>
        <w:rPr>
          <w:bCs/>
        </w:rPr>
      </w:pPr>
      <w:r w:rsidRPr="004E491C">
        <w:rPr>
          <w:bCs/>
        </w:rPr>
        <w:t>Se define como comercio mayorista, a las ventas, con prescindencia de la significación económica y/o de la cantidad de unidades comercializadas, cuando la adquisición de los bienes se realice para revenderlos o comercializarlos en el mismo estado o para incorporarlos en el desarrollo específico de una actividad industrial o de la construcción. Asimismo, se consideran mayoristas, las ventas de bienes realizadas al Estado Nacional, Provincial o Municipal, sus entes autárquicos, y organismos descentralizados.</w:t>
      </w:r>
    </w:p>
    <w:p w:rsidR="00996159" w:rsidRPr="004E491C" w:rsidRDefault="00996159" w:rsidP="004E491C">
      <w:pPr>
        <w:widowControl/>
        <w:suppressAutoHyphens w:val="0"/>
        <w:spacing w:line="360" w:lineRule="auto"/>
        <w:rPr>
          <w:bCs/>
        </w:rPr>
      </w:pPr>
    </w:p>
    <w:p w:rsidR="00996159" w:rsidRPr="004E491C" w:rsidRDefault="00996159" w:rsidP="004E491C">
      <w:pPr>
        <w:widowControl/>
        <w:suppressAutoHyphens w:val="0"/>
        <w:spacing w:line="360" w:lineRule="auto"/>
        <w:jc w:val="both"/>
        <w:rPr>
          <w:bCs/>
        </w:rPr>
      </w:pPr>
      <w:r w:rsidRPr="004E491C">
        <w:rPr>
          <w:bCs/>
        </w:rPr>
        <w:t>Lo dispuesto en el párrafo precedente no será aplicable para la comercialización mayorista de combustible. Se entiende por ésta a las ventas realizadas por empresas que comercializan el combustible líquido con marca propia, que sean contribuyentes del impuesto a los combustibles (Ley N° 23966 y sus modificatorias) y que realicen dichas ventas a estaciones de servicio para la reventa al público.</w:t>
      </w:r>
    </w:p>
    <w:p w:rsidR="00996159" w:rsidRPr="004E491C" w:rsidRDefault="00996159" w:rsidP="004E491C">
      <w:pPr>
        <w:widowControl/>
        <w:suppressAutoHyphens w:val="0"/>
        <w:spacing w:line="360" w:lineRule="auto"/>
        <w:jc w:val="both"/>
        <w:rPr>
          <w:bCs/>
        </w:rPr>
      </w:pPr>
    </w:p>
    <w:p w:rsidR="00996159" w:rsidRPr="004E491C" w:rsidRDefault="00996159" w:rsidP="004E491C">
      <w:pPr>
        <w:widowControl/>
        <w:suppressAutoHyphens w:val="0"/>
        <w:spacing w:line="360" w:lineRule="auto"/>
        <w:ind w:hanging="2"/>
        <w:jc w:val="both"/>
        <w:rPr>
          <w:bCs/>
        </w:rPr>
      </w:pPr>
      <w:r w:rsidRPr="004E491C">
        <w:rPr>
          <w:bCs/>
        </w:rPr>
        <w:lastRenderedPageBreak/>
        <w:t xml:space="preserve">A todos los efectos de la presente Ley y de todas las disposiciones establecidas en el Código Fiscal (T.O. 2018 y modificatorias) las actividades desarrolladas por las instituciones sujetas al régimen de la Ley Nacional N° 21526 -de Entidades Financieras- se consideran incluidas en la actividad “Servicios Financieros”, según lo dispuesto por el Anexo I del “Consenso Fiscal” de fecha 16 de noviembre de 2017, entre el Estado Nacional, las Provincias signatarias del mismo y la Ciudad Autónoma de Buenos Aires (CABA) y sus adendas -aprobados por las Leyes Nacionales N°  27429,  27469 y 27542 y las Leyes Provinciales N° 10557, 10687 y 10781”. </w:t>
      </w:r>
    </w:p>
    <w:p w:rsidR="00996159" w:rsidRPr="004E491C" w:rsidRDefault="00996159" w:rsidP="004E491C">
      <w:pPr>
        <w:widowControl/>
        <w:suppressAutoHyphens w:val="0"/>
        <w:spacing w:line="360" w:lineRule="auto"/>
        <w:ind w:hanging="2"/>
        <w:jc w:val="both"/>
        <w:rPr>
          <w:bCs/>
        </w:rPr>
      </w:pPr>
    </w:p>
    <w:p w:rsidR="00996159" w:rsidRPr="004E491C" w:rsidRDefault="00996159" w:rsidP="004E491C">
      <w:pPr>
        <w:widowControl/>
        <w:suppressAutoHyphens w:val="0"/>
        <w:spacing w:line="360" w:lineRule="auto"/>
        <w:jc w:val="both"/>
        <w:rPr>
          <w:bCs/>
        </w:rPr>
      </w:pPr>
      <w:r w:rsidRPr="004E491C">
        <w:rPr>
          <w:bCs/>
        </w:rPr>
        <w:t>ARTÍCULO 3°: Sustitúyase el </w:t>
      </w:r>
      <w:hyperlink r:id="rId8" w:anchor="art_12">
        <w:r w:rsidRPr="004E491C">
          <w:rPr>
            <w:bCs/>
          </w:rPr>
          <w:t>Artículo 12° de la Ley N° 9622</w:t>
        </w:r>
      </w:hyperlink>
      <w:r w:rsidRPr="004E491C">
        <w:rPr>
          <w:bCs/>
        </w:rPr>
        <w:t> y modificatorias (T.O. 2018) por el siguiente:</w:t>
      </w:r>
    </w:p>
    <w:p w:rsidR="00996159" w:rsidRPr="004E491C" w:rsidRDefault="00996159" w:rsidP="004E491C">
      <w:pPr>
        <w:widowControl/>
        <w:suppressAutoHyphens w:val="0"/>
        <w:spacing w:line="360" w:lineRule="auto"/>
        <w:ind w:left="720" w:firstLine="720"/>
        <w:jc w:val="both"/>
        <w:rPr>
          <w:bCs/>
        </w:rPr>
      </w:pPr>
    </w:p>
    <w:p w:rsidR="00996159" w:rsidRPr="004E491C" w:rsidRDefault="00996159" w:rsidP="004E491C">
      <w:pPr>
        <w:widowControl/>
        <w:suppressAutoHyphens w:val="0"/>
        <w:spacing w:line="360" w:lineRule="auto"/>
        <w:ind w:left="20" w:right="200"/>
        <w:jc w:val="both"/>
        <w:rPr>
          <w:bCs/>
        </w:rPr>
      </w:pPr>
      <w:r w:rsidRPr="004E491C">
        <w:rPr>
          <w:bCs/>
        </w:rPr>
        <w:t xml:space="preserve">“ARTÍCULO </w:t>
      </w:r>
      <w:hyperlink r:id="rId9" w:anchor="art_12">
        <w:r w:rsidRPr="004E491C">
          <w:rPr>
            <w:bCs/>
          </w:rPr>
          <w:t>12°</w:t>
        </w:r>
      </w:hyperlink>
      <w:r w:rsidRPr="004E491C">
        <w:rPr>
          <w:bCs/>
        </w:rPr>
        <w:t>: “Por los actos, contratos y operaciones que a continuación se enumeran se deberá pagar el impuesto que en cada caso se establece:</w:t>
      </w:r>
    </w:p>
    <w:p w:rsidR="00996159" w:rsidRPr="004E491C" w:rsidRDefault="00996159" w:rsidP="00996159">
      <w:pPr>
        <w:widowControl/>
        <w:suppressAutoHyphens w:val="0"/>
        <w:spacing w:line="288" w:lineRule="auto"/>
        <w:ind w:left="20" w:right="200"/>
        <w:rPr>
          <w:bCs/>
        </w:rPr>
      </w:pPr>
    </w:p>
    <w:tbl>
      <w:tblPr>
        <w:tblStyle w:val="7"/>
        <w:tblW w:w="7908" w:type="dxa"/>
        <w:jc w:val="center"/>
        <w:tblInd w:w="0" w:type="dxa"/>
        <w:tblLayout w:type="fixed"/>
        <w:tblLook w:val="0000" w:firstRow="0" w:lastRow="0" w:firstColumn="0" w:lastColumn="0" w:noHBand="0" w:noVBand="0"/>
      </w:tblPr>
      <w:tblGrid>
        <w:gridCol w:w="5093"/>
        <w:gridCol w:w="982"/>
        <w:gridCol w:w="992"/>
        <w:gridCol w:w="841"/>
      </w:tblGrid>
      <w:tr w:rsidR="00996159" w:rsidRPr="004E491C" w:rsidTr="00996159">
        <w:trPr>
          <w:trHeight w:val="315"/>
          <w:jc w:val="center"/>
        </w:trPr>
        <w:tc>
          <w:tcPr>
            <w:tcW w:w="5093" w:type="dxa"/>
            <w:tcBorders>
              <w:top w:val="single" w:sz="8" w:space="0" w:color="000000"/>
              <w:left w:val="single" w:sz="8" w:space="0" w:color="000000"/>
              <w:bottom w:val="single" w:sz="8" w:space="0" w:color="000000"/>
              <w:right w:val="nil"/>
            </w:tcBorders>
            <w:vAlign w:val="bottom"/>
          </w:tcPr>
          <w:p w:rsidR="00996159" w:rsidRPr="004E491C" w:rsidRDefault="00996159" w:rsidP="00996159">
            <w:pPr>
              <w:widowControl/>
              <w:suppressAutoHyphens w:val="0"/>
              <w:spacing w:line="259" w:lineRule="auto"/>
              <w:jc w:val="center"/>
              <w:rPr>
                <w:bCs/>
              </w:rPr>
            </w:pPr>
            <w:r w:rsidRPr="004E491C">
              <w:rPr>
                <w:bCs/>
              </w:rPr>
              <w:t xml:space="preserve">ACTOS Y CONTRATOS EN GENERAL </w:t>
            </w:r>
          </w:p>
        </w:tc>
        <w:tc>
          <w:tcPr>
            <w:tcW w:w="982" w:type="dxa"/>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2021</w:t>
            </w:r>
          </w:p>
        </w:tc>
        <w:tc>
          <w:tcPr>
            <w:tcW w:w="992" w:type="dxa"/>
            <w:tcBorders>
              <w:top w:val="single" w:sz="8" w:space="0" w:color="000000"/>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2022</w:t>
            </w:r>
          </w:p>
        </w:tc>
        <w:tc>
          <w:tcPr>
            <w:tcW w:w="841" w:type="dxa"/>
            <w:tcBorders>
              <w:top w:val="single" w:sz="8" w:space="0" w:color="000000"/>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2023</w:t>
            </w:r>
          </w:p>
        </w:tc>
      </w:tr>
      <w:tr w:rsidR="00996159" w:rsidRPr="004E491C" w:rsidTr="00996159">
        <w:trPr>
          <w:trHeight w:val="298"/>
          <w:jc w:val="center"/>
        </w:trPr>
        <w:tc>
          <w:tcPr>
            <w:tcW w:w="5093"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both"/>
              <w:rPr>
                <w:bCs/>
              </w:rPr>
            </w:pPr>
            <w:r w:rsidRPr="004E491C">
              <w:rPr>
                <w:bCs/>
              </w:rPr>
              <w:t>1) Acciones  y derechos: Cesión.  Por  las  cesiones de acciones y derechos</w:t>
            </w:r>
          </w:p>
        </w:tc>
        <w:tc>
          <w:tcPr>
            <w:tcW w:w="982"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30"/>
          <w:jc w:val="center"/>
        </w:trPr>
        <w:tc>
          <w:tcPr>
            <w:tcW w:w="5093" w:type="dxa"/>
            <w:tcBorders>
              <w:top w:val="single" w:sz="4" w:space="0" w:color="000000"/>
              <w:left w:val="single" w:sz="4" w:space="0" w:color="000000"/>
              <w:right w:val="single" w:sz="4" w:space="0" w:color="000000"/>
            </w:tcBorders>
            <w:vAlign w:val="center"/>
          </w:tcPr>
          <w:p w:rsidR="00996159" w:rsidRPr="004E491C" w:rsidRDefault="00996159" w:rsidP="00996159">
            <w:pPr>
              <w:widowControl/>
              <w:suppressAutoHyphens w:val="0"/>
              <w:spacing w:line="259" w:lineRule="auto"/>
              <w:rPr>
                <w:bCs/>
              </w:rPr>
            </w:pPr>
            <w:r w:rsidRPr="004E491C">
              <w:rPr>
                <w:bCs/>
              </w:rPr>
              <w:t>2) Actos y contratos en general:</w:t>
            </w:r>
          </w:p>
        </w:tc>
        <w:tc>
          <w:tcPr>
            <w:tcW w:w="982" w:type="dxa"/>
            <w:tcBorders>
              <w:top w:val="single" w:sz="4" w:space="0" w:color="000000"/>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single" w:sz="4" w:space="0" w:color="000000"/>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single" w:sz="4" w:space="0" w:color="000000"/>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42"/>
          <w:jc w:val="center"/>
        </w:trPr>
        <w:tc>
          <w:tcPr>
            <w:tcW w:w="5093" w:type="dxa"/>
            <w:tcBorders>
              <w:top w:val="nil"/>
              <w:left w:val="single" w:sz="4" w:space="0" w:color="000000"/>
              <w:right w:val="single" w:sz="4" w:space="0" w:color="000000"/>
            </w:tcBorders>
            <w:vAlign w:val="center"/>
          </w:tcPr>
          <w:p w:rsidR="00996159" w:rsidRPr="004E491C" w:rsidRDefault="00996159" w:rsidP="00996159">
            <w:pPr>
              <w:widowControl/>
              <w:suppressAutoHyphens w:val="0"/>
              <w:spacing w:line="259" w:lineRule="auto"/>
              <w:rPr>
                <w:bCs/>
              </w:rPr>
            </w:pPr>
            <w:r w:rsidRPr="004E491C">
              <w:rPr>
                <w:bCs/>
              </w:rPr>
              <w:t xml:space="preserve">     No gravados expresamente:</w:t>
            </w:r>
          </w:p>
        </w:tc>
        <w:tc>
          <w:tcPr>
            <w:tcW w:w="982" w:type="dxa"/>
            <w:tcBorders>
              <w:top w:val="nil"/>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992" w:type="dxa"/>
            <w:tcBorders>
              <w:top w:val="nil"/>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841" w:type="dxa"/>
            <w:tcBorders>
              <w:top w:val="nil"/>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60"/>
          <w:jc w:val="center"/>
        </w:trPr>
        <w:tc>
          <w:tcPr>
            <w:tcW w:w="5093" w:type="dxa"/>
            <w:tcBorders>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both"/>
              <w:rPr>
                <w:bCs/>
              </w:rPr>
            </w:pPr>
            <w:r w:rsidRPr="004E491C">
              <w:rPr>
                <w:bCs/>
              </w:rPr>
              <w:t xml:space="preserve">     Si su monto es determinado o determinable, </w:t>
            </w:r>
          </w:p>
        </w:tc>
        <w:tc>
          <w:tcPr>
            <w:tcW w:w="982" w:type="dxa"/>
            <w:tcBorders>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660"/>
          <w:jc w:val="center"/>
        </w:trPr>
        <w:tc>
          <w:tcPr>
            <w:tcW w:w="5093" w:type="dxa"/>
            <w:tcBorders>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both"/>
              <w:rPr>
                <w:bCs/>
              </w:rPr>
            </w:pPr>
            <w:r w:rsidRPr="004E491C">
              <w:rPr>
                <w:bCs/>
              </w:rPr>
              <w:t xml:space="preserve">     Si su monto no es determinado o  determinable.</w:t>
            </w:r>
          </w:p>
        </w:tc>
        <w:tc>
          <w:tcPr>
            <w:tcW w:w="982" w:type="dxa"/>
            <w:tcBorders>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992" w:type="dxa"/>
            <w:tcBorders>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841" w:type="dxa"/>
            <w:tcBorders>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330"/>
          <w:jc w:val="center"/>
        </w:trPr>
        <w:tc>
          <w:tcPr>
            <w:tcW w:w="5093" w:type="dxa"/>
            <w:tcBorders>
              <w:top w:val="nil"/>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rPr>
                <w:bCs/>
              </w:rPr>
            </w:pPr>
            <w:r w:rsidRPr="004E491C">
              <w:rPr>
                <w:bCs/>
              </w:rPr>
              <w:t xml:space="preserve">     Gravado expresamente:</w:t>
            </w:r>
          </w:p>
        </w:tc>
        <w:tc>
          <w:tcPr>
            <w:tcW w:w="982" w:type="dxa"/>
            <w:tcBorders>
              <w:top w:val="nil"/>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992" w:type="dxa"/>
            <w:tcBorders>
              <w:top w:val="nil"/>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841" w:type="dxa"/>
            <w:tcBorders>
              <w:top w:val="nil"/>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75"/>
          <w:jc w:val="center"/>
        </w:trPr>
        <w:tc>
          <w:tcPr>
            <w:tcW w:w="5093" w:type="dxa"/>
            <w:tcBorders>
              <w:top w:val="nil"/>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both"/>
              <w:rPr>
                <w:bCs/>
              </w:rPr>
            </w:pPr>
            <w:r w:rsidRPr="004E491C">
              <w:rPr>
                <w:bCs/>
              </w:rPr>
              <w:t xml:space="preserve">     Cuando su monto no es determinado o determinable</w:t>
            </w:r>
          </w:p>
        </w:tc>
        <w:tc>
          <w:tcPr>
            <w:tcW w:w="982" w:type="dxa"/>
            <w:tcBorders>
              <w:top w:val="nil"/>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992" w:type="dxa"/>
            <w:tcBorders>
              <w:top w:val="nil"/>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841" w:type="dxa"/>
            <w:tcBorders>
              <w:top w:val="nil"/>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298"/>
          <w:jc w:val="center"/>
        </w:trPr>
        <w:tc>
          <w:tcPr>
            <w:tcW w:w="5093" w:type="dxa"/>
            <w:vMerge w:val="restart"/>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3) Billetes de lotería: Por la venta en jurisdicción de la Provincia de billetes de lotería, sobre el precio</w:t>
            </w:r>
          </w:p>
          <w:p w:rsidR="00996159" w:rsidRPr="004E491C" w:rsidRDefault="00996159" w:rsidP="00996159">
            <w:pPr>
              <w:widowControl/>
              <w:suppressAutoHyphens w:val="0"/>
              <w:spacing w:line="259" w:lineRule="auto"/>
              <w:jc w:val="both"/>
              <w:rPr>
                <w:bCs/>
              </w:rPr>
            </w:pPr>
          </w:p>
          <w:p w:rsidR="00E1755A" w:rsidRDefault="00E1755A" w:rsidP="00996159">
            <w:pPr>
              <w:widowControl/>
              <w:suppressAutoHyphens w:val="0"/>
              <w:spacing w:line="259" w:lineRule="auto"/>
              <w:jc w:val="both"/>
              <w:rPr>
                <w:bCs/>
              </w:rPr>
            </w:pPr>
          </w:p>
          <w:p w:rsidR="00BA6542" w:rsidRPr="004E491C" w:rsidRDefault="00BA6542"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p>
        </w:tc>
        <w:tc>
          <w:tcPr>
            <w:tcW w:w="982" w:type="dxa"/>
            <w:vMerge w:val="restart"/>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1,00%</w:t>
            </w:r>
          </w:p>
        </w:tc>
        <w:tc>
          <w:tcPr>
            <w:tcW w:w="992" w:type="dxa"/>
            <w:vMerge w:val="restart"/>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660"/>
          <w:jc w:val="center"/>
        </w:trPr>
        <w:tc>
          <w:tcPr>
            <w:tcW w:w="5093" w:type="dxa"/>
            <w:vMerge/>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298"/>
          <w:jc w:val="center"/>
        </w:trPr>
        <w:tc>
          <w:tcPr>
            <w:tcW w:w="5093" w:type="dxa"/>
            <w:vMerge w:val="restart"/>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both"/>
              <w:rPr>
                <w:bCs/>
              </w:rPr>
            </w:pPr>
            <w:r w:rsidRPr="004E491C">
              <w:rPr>
                <w:bCs/>
              </w:rPr>
              <w:lastRenderedPageBreak/>
              <w:t>4) Concesiones: Por las concesiones otorgadas por cualquier autoridad administrativa, salvo las que tengan tratamiento expreso</w:t>
            </w:r>
          </w:p>
        </w:tc>
        <w:tc>
          <w:tcPr>
            <w:tcW w:w="982" w:type="dxa"/>
            <w:vMerge w:val="restart"/>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1,00%</w:t>
            </w:r>
          </w:p>
        </w:tc>
        <w:tc>
          <w:tcPr>
            <w:tcW w:w="992" w:type="dxa"/>
            <w:vMerge w:val="restart"/>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17"/>
          <w:jc w:val="center"/>
        </w:trPr>
        <w:tc>
          <w:tcPr>
            <w:tcW w:w="5093" w:type="dxa"/>
            <w:vMerge/>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660"/>
          <w:jc w:val="center"/>
        </w:trPr>
        <w:tc>
          <w:tcPr>
            <w:tcW w:w="5093" w:type="dxa"/>
            <w:tcBorders>
              <w:top w:val="single" w:sz="8"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 xml:space="preserve">5) Contratos de suministros de obras y  servicios públicos: </w:t>
            </w:r>
          </w:p>
        </w:tc>
        <w:tc>
          <w:tcPr>
            <w:tcW w:w="982" w:type="dxa"/>
            <w:tcBorders>
              <w:top w:val="single" w:sz="8"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992" w:type="dxa"/>
            <w:tcBorders>
              <w:top w:val="single" w:sz="8"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841" w:type="dxa"/>
            <w:tcBorders>
              <w:top w:val="single" w:sz="8"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60"/>
          <w:jc w:val="center"/>
        </w:trPr>
        <w:tc>
          <w:tcPr>
            <w:tcW w:w="5093"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 xml:space="preserve"> Por los contratos de suministros  de  obras y servicios públicos</w:t>
            </w:r>
          </w:p>
        </w:tc>
        <w:tc>
          <w:tcPr>
            <w:tcW w:w="982"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1005"/>
          <w:jc w:val="center"/>
        </w:trPr>
        <w:tc>
          <w:tcPr>
            <w:tcW w:w="5093" w:type="dxa"/>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Por los actos, contratos, solicitudes o  instrumentos semejantes por prestaciones de servicios continuos</w:t>
            </w:r>
          </w:p>
        </w:tc>
        <w:tc>
          <w:tcPr>
            <w:tcW w:w="982" w:type="dxa"/>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298"/>
          <w:jc w:val="center"/>
        </w:trPr>
        <w:tc>
          <w:tcPr>
            <w:tcW w:w="5093"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6) Contratos. Rescisión: Por la rescisión de cualquier contrato instrumentado privada o públicamente, impuesto correspondiente al contrato que se rescinde</w:t>
            </w:r>
          </w:p>
        </w:tc>
        <w:tc>
          <w:tcPr>
            <w:tcW w:w="982"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50,00%</w:t>
            </w:r>
          </w:p>
        </w:tc>
        <w:tc>
          <w:tcPr>
            <w:tcW w:w="992"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50,00%</w:t>
            </w:r>
          </w:p>
        </w:tc>
        <w:tc>
          <w:tcPr>
            <w:tcW w:w="841"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17"/>
          <w:jc w:val="center"/>
        </w:trPr>
        <w:tc>
          <w:tcPr>
            <w:tcW w:w="5093"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435"/>
          <w:jc w:val="center"/>
        </w:trPr>
        <w:tc>
          <w:tcPr>
            <w:tcW w:w="5093"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298"/>
          <w:jc w:val="center"/>
        </w:trPr>
        <w:tc>
          <w:tcPr>
            <w:tcW w:w="5093" w:type="dxa"/>
            <w:vMerge w:val="restart"/>
            <w:tcBorders>
              <w:top w:val="single" w:sz="8" w:space="0" w:color="000000"/>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 xml:space="preserve">7) Deudas: Por los reconocimientos de deuda </w:t>
            </w:r>
          </w:p>
        </w:tc>
        <w:tc>
          <w:tcPr>
            <w:tcW w:w="982" w:type="dxa"/>
            <w:vMerge w:val="restart"/>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vMerge w:val="restart"/>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single" w:sz="8" w:space="0" w:color="000000"/>
              <w:left w:val="single" w:sz="8" w:space="0" w:color="000000"/>
              <w:bottom w:val="single" w:sz="8" w:space="0" w:color="000000"/>
              <w:right w:val="nil"/>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675"/>
          <w:jc w:val="center"/>
        </w:trPr>
        <w:tc>
          <w:tcPr>
            <w:tcW w:w="5093" w:type="dxa"/>
            <w:tcBorders>
              <w:top w:val="single" w:sz="8" w:space="0" w:color="000000"/>
              <w:left w:val="single" w:sz="4" w:space="0" w:color="000000"/>
              <w:bottom w:val="single" w:sz="4" w:space="0" w:color="000000"/>
              <w:right w:val="single" w:sz="4" w:space="0" w:color="000000"/>
            </w:tcBorders>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8) Garantías personales: Por fianza,  garantía o aval</w:t>
            </w:r>
          </w:p>
          <w:p w:rsidR="00996159" w:rsidRPr="004E491C" w:rsidRDefault="00996159" w:rsidP="00996159">
            <w:pPr>
              <w:widowControl/>
              <w:suppressAutoHyphens w:val="0"/>
              <w:spacing w:line="259" w:lineRule="auto"/>
              <w:rPr>
                <w:bCs/>
              </w:rPr>
            </w:pPr>
          </w:p>
        </w:tc>
        <w:tc>
          <w:tcPr>
            <w:tcW w:w="982" w:type="dxa"/>
            <w:tcBorders>
              <w:top w:val="single" w:sz="8" w:space="0" w:color="000000"/>
              <w:left w:val="single" w:sz="4"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0,40%</w:t>
            </w:r>
          </w:p>
        </w:tc>
        <w:tc>
          <w:tcPr>
            <w:tcW w:w="992" w:type="dxa"/>
            <w:tcBorders>
              <w:top w:val="single" w:sz="8" w:space="0" w:color="000000"/>
              <w:left w:val="nil"/>
              <w:bottom w:val="single" w:sz="8" w:space="0" w:color="000000"/>
              <w:right w:val="nil"/>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298"/>
          <w:jc w:val="center"/>
        </w:trPr>
        <w:tc>
          <w:tcPr>
            <w:tcW w:w="5093" w:type="dxa"/>
            <w:vMerge w:val="restart"/>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both"/>
              <w:rPr>
                <w:bCs/>
              </w:rPr>
            </w:pPr>
            <w:r w:rsidRPr="004E491C">
              <w:rPr>
                <w:bCs/>
              </w:rPr>
              <w:t>9) Locación y sublocación: Por la locación  de obras, de servicios y  locación y sublocación de muebles o inmuebles y por sus cesiones o transferencias</w:t>
            </w:r>
          </w:p>
        </w:tc>
        <w:tc>
          <w:tcPr>
            <w:tcW w:w="982" w:type="dxa"/>
            <w:vMerge w:val="restart"/>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rPr>
                <w:bCs/>
              </w:rPr>
            </w:pPr>
            <w:r w:rsidRPr="004E491C">
              <w:rPr>
                <w:bCs/>
              </w:rPr>
              <w:t>1,00%</w:t>
            </w:r>
          </w:p>
        </w:tc>
        <w:tc>
          <w:tcPr>
            <w:tcW w:w="992" w:type="dxa"/>
            <w:vMerge w:val="restart"/>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single" w:sz="8" w:space="0" w:color="000000"/>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nil"/>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705"/>
          <w:jc w:val="center"/>
        </w:trPr>
        <w:tc>
          <w:tcPr>
            <w:tcW w:w="5093" w:type="dxa"/>
            <w:vMerge/>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nil"/>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298"/>
          <w:jc w:val="center"/>
        </w:trPr>
        <w:tc>
          <w:tcPr>
            <w:tcW w:w="5093" w:type="dxa"/>
            <w:vMerge w:val="restart"/>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both"/>
              <w:rPr>
                <w:bCs/>
              </w:rPr>
            </w:pPr>
            <w:r w:rsidRPr="004E491C">
              <w:rPr>
                <w:bCs/>
              </w:rPr>
              <w:t>10) Mercaderías y bienes muebles: Por cada compraventa  de mercaderías  o  bienes muebles  en  general</w:t>
            </w:r>
          </w:p>
          <w:p w:rsidR="00996159" w:rsidRPr="004E491C" w:rsidRDefault="00996159" w:rsidP="00996159">
            <w:pPr>
              <w:widowControl/>
              <w:suppressAutoHyphens w:val="0"/>
              <w:spacing w:line="259" w:lineRule="auto"/>
              <w:jc w:val="both"/>
              <w:rPr>
                <w:bCs/>
              </w:rPr>
            </w:pPr>
          </w:p>
        </w:tc>
        <w:tc>
          <w:tcPr>
            <w:tcW w:w="982" w:type="dxa"/>
            <w:vMerge w:val="restart"/>
            <w:tcBorders>
              <w:top w:val="single" w:sz="4" w:space="0" w:color="000000"/>
              <w:left w:val="single" w:sz="4" w:space="0" w:color="000000"/>
              <w:bottom w:val="nil"/>
              <w:right w:val="single" w:sz="8" w:space="0" w:color="000000"/>
            </w:tcBorders>
            <w:vAlign w:val="center"/>
          </w:tcPr>
          <w:p w:rsidR="00996159" w:rsidRPr="004E491C" w:rsidRDefault="00996159" w:rsidP="00996159">
            <w:pPr>
              <w:widowControl/>
              <w:suppressAutoHyphens w:val="0"/>
              <w:spacing w:line="259" w:lineRule="auto"/>
              <w:rPr>
                <w:bCs/>
              </w:rPr>
            </w:pPr>
            <w:r w:rsidRPr="004E491C">
              <w:rPr>
                <w:bCs/>
              </w:rPr>
              <w:t>1,00%</w:t>
            </w:r>
          </w:p>
        </w:tc>
        <w:tc>
          <w:tcPr>
            <w:tcW w:w="992" w:type="dxa"/>
            <w:vMerge w:val="restart"/>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690"/>
          <w:jc w:val="center"/>
        </w:trPr>
        <w:tc>
          <w:tcPr>
            <w:tcW w:w="5093" w:type="dxa"/>
            <w:vMerge/>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4" w:space="0" w:color="000000"/>
              <w:left w:val="single" w:sz="4"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45"/>
          <w:jc w:val="center"/>
        </w:trPr>
        <w:tc>
          <w:tcPr>
            <w:tcW w:w="5093" w:type="dxa"/>
            <w:tcBorders>
              <w:top w:val="single" w:sz="4" w:space="0" w:color="000000"/>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11) Mutuo: De mutuo</w:t>
            </w:r>
          </w:p>
          <w:p w:rsidR="00996159" w:rsidRPr="004E491C" w:rsidRDefault="00996159" w:rsidP="00996159">
            <w:pPr>
              <w:widowControl/>
              <w:suppressAutoHyphens w:val="0"/>
              <w:spacing w:line="259" w:lineRule="auto"/>
              <w:rPr>
                <w:bCs/>
              </w:rPr>
            </w:pPr>
          </w:p>
        </w:tc>
        <w:tc>
          <w:tcPr>
            <w:tcW w:w="982" w:type="dxa"/>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single" w:sz="8" w:space="0" w:color="000000"/>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single" w:sz="8" w:space="0" w:color="000000"/>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57"/>
          <w:jc w:val="center"/>
        </w:trPr>
        <w:tc>
          <w:tcPr>
            <w:tcW w:w="5093" w:type="dxa"/>
            <w:tcBorders>
              <w:top w:val="nil"/>
              <w:left w:val="single" w:sz="8" w:space="0" w:color="000000"/>
              <w:bottom w:val="single" w:sz="4" w:space="0" w:color="000000"/>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12)  Novación: De novación</w:t>
            </w:r>
          </w:p>
          <w:p w:rsidR="00996159" w:rsidRPr="004E491C" w:rsidRDefault="00996159" w:rsidP="00996159">
            <w:pPr>
              <w:widowControl/>
              <w:suppressAutoHyphens w:val="0"/>
              <w:spacing w:line="259" w:lineRule="auto"/>
              <w:rPr>
                <w:bCs/>
              </w:rPr>
            </w:pPr>
          </w:p>
          <w:p w:rsidR="00E1755A" w:rsidRPr="004E491C" w:rsidRDefault="00E1755A"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p>
        </w:tc>
        <w:tc>
          <w:tcPr>
            <w:tcW w:w="982"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298"/>
          <w:jc w:val="center"/>
        </w:trPr>
        <w:tc>
          <w:tcPr>
            <w:tcW w:w="5093" w:type="dxa"/>
            <w:vMerge w:val="restart"/>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rPr>
                <w:bCs/>
              </w:rPr>
            </w:pPr>
            <w:r w:rsidRPr="004E491C">
              <w:rPr>
                <w:bCs/>
              </w:rPr>
              <w:t>13) Obligaciones: Por las obligaciones de pagar sumas de dinero</w:t>
            </w: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lastRenderedPageBreak/>
              <w:t>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lastRenderedPageBreak/>
              <w:t>0,25%</w:t>
            </w:r>
          </w:p>
        </w:tc>
        <w:tc>
          <w:tcPr>
            <w:tcW w:w="841" w:type="dxa"/>
            <w:vMerge w:val="restart"/>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lastRenderedPageBreak/>
              <w:t>0%</w:t>
            </w:r>
          </w:p>
        </w:tc>
      </w:tr>
      <w:tr w:rsidR="00996159" w:rsidRPr="004E491C" w:rsidTr="00996159">
        <w:trPr>
          <w:trHeight w:val="525"/>
          <w:jc w:val="center"/>
        </w:trPr>
        <w:tc>
          <w:tcPr>
            <w:tcW w:w="5093" w:type="dxa"/>
            <w:vMerge/>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30"/>
          <w:jc w:val="center"/>
        </w:trPr>
        <w:tc>
          <w:tcPr>
            <w:tcW w:w="5093" w:type="dxa"/>
            <w:tcBorders>
              <w:top w:val="single" w:sz="4"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14) Prenda:</w:t>
            </w:r>
          </w:p>
        </w:tc>
        <w:tc>
          <w:tcPr>
            <w:tcW w:w="982" w:type="dxa"/>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992"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841"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60"/>
          <w:jc w:val="center"/>
        </w:trPr>
        <w:tc>
          <w:tcPr>
            <w:tcW w:w="5093"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a)       Por la constitución de prenda</w:t>
            </w:r>
          </w:p>
        </w:tc>
        <w:tc>
          <w:tcPr>
            <w:tcW w:w="982"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660"/>
          <w:jc w:val="center"/>
        </w:trPr>
        <w:tc>
          <w:tcPr>
            <w:tcW w:w="5093"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b)       Por la transferencia o endosos</w:t>
            </w:r>
          </w:p>
        </w:tc>
        <w:tc>
          <w:tcPr>
            <w:tcW w:w="982"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660"/>
          <w:jc w:val="center"/>
        </w:trPr>
        <w:tc>
          <w:tcPr>
            <w:tcW w:w="5093"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c)       Por la cancelación total o parcial</w:t>
            </w:r>
          </w:p>
        </w:tc>
        <w:tc>
          <w:tcPr>
            <w:tcW w:w="982"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0,40%</w:t>
            </w:r>
          </w:p>
        </w:tc>
        <w:tc>
          <w:tcPr>
            <w:tcW w:w="992"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45"/>
          <w:jc w:val="center"/>
        </w:trPr>
        <w:tc>
          <w:tcPr>
            <w:tcW w:w="5093" w:type="dxa"/>
            <w:tcBorders>
              <w:top w:val="nil"/>
              <w:left w:val="single" w:sz="8" w:space="0" w:color="000000"/>
              <w:bottom w:val="single" w:sz="8" w:space="0" w:color="000000"/>
              <w:right w:val="nil"/>
            </w:tcBorders>
          </w:tcPr>
          <w:p w:rsidR="00996159" w:rsidRPr="004E491C" w:rsidRDefault="00996159" w:rsidP="00996159">
            <w:pPr>
              <w:widowControl/>
              <w:suppressAutoHyphens w:val="0"/>
              <w:spacing w:line="259" w:lineRule="auto"/>
              <w:rPr>
                <w:bCs/>
              </w:rPr>
            </w:pPr>
            <w:r w:rsidRPr="004E491C">
              <w:rPr>
                <w:bCs/>
              </w:rPr>
              <w:t>Con un mínimo de:</w:t>
            </w:r>
          </w:p>
          <w:p w:rsidR="00996159" w:rsidRPr="004E491C" w:rsidRDefault="00996159" w:rsidP="00996159">
            <w:pPr>
              <w:widowControl/>
              <w:suppressAutoHyphens w:val="0"/>
              <w:spacing w:line="259" w:lineRule="auto"/>
              <w:rPr>
                <w:bCs/>
              </w:rPr>
            </w:pPr>
          </w:p>
        </w:tc>
        <w:tc>
          <w:tcPr>
            <w:tcW w:w="982" w:type="dxa"/>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992"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841"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315"/>
          <w:jc w:val="center"/>
        </w:trPr>
        <w:tc>
          <w:tcPr>
            <w:tcW w:w="5093"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both"/>
              <w:rPr>
                <w:bCs/>
              </w:rPr>
            </w:pPr>
            <w:r w:rsidRPr="004E491C">
              <w:rPr>
                <w:bCs/>
              </w:rPr>
              <w:t xml:space="preserve">15) Renta vitalicia:  Por la constitución de rentas vitalicias </w:t>
            </w:r>
          </w:p>
          <w:p w:rsidR="00996159" w:rsidRPr="004E491C" w:rsidRDefault="00996159" w:rsidP="00996159">
            <w:pPr>
              <w:widowControl/>
              <w:suppressAutoHyphens w:val="0"/>
              <w:spacing w:line="259" w:lineRule="auto"/>
              <w:jc w:val="both"/>
              <w:rPr>
                <w:bCs/>
              </w:rPr>
            </w:pPr>
          </w:p>
        </w:tc>
        <w:tc>
          <w:tcPr>
            <w:tcW w:w="982"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1,00%</w:t>
            </w:r>
          </w:p>
        </w:tc>
        <w:tc>
          <w:tcPr>
            <w:tcW w:w="992"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30"/>
          <w:jc w:val="center"/>
        </w:trPr>
        <w:tc>
          <w:tcPr>
            <w:tcW w:w="5093" w:type="dxa"/>
            <w:tcBorders>
              <w:top w:val="single" w:sz="8"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16) Transacciones:</w:t>
            </w:r>
          </w:p>
        </w:tc>
        <w:tc>
          <w:tcPr>
            <w:tcW w:w="982" w:type="dxa"/>
            <w:tcBorders>
              <w:top w:val="single" w:sz="8"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992" w:type="dxa"/>
            <w:tcBorders>
              <w:top w:val="single" w:sz="8"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841" w:type="dxa"/>
            <w:tcBorders>
              <w:top w:val="single" w:sz="8"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1005"/>
          <w:jc w:val="center"/>
        </w:trPr>
        <w:tc>
          <w:tcPr>
            <w:tcW w:w="5093" w:type="dxa"/>
            <w:tcBorders>
              <w:top w:val="nil"/>
              <w:left w:val="single" w:sz="8" w:space="0" w:color="000000"/>
              <w:bottom w:val="single" w:sz="4"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Por las transacciones  instrumentadas pública  o privadamente, o realizadas en  actuaciones administrativas</w:t>
            </w:r>
          </w:p>
        </w:tc>
        <w:tc>
          <w:tcPr>
            <w:tcW w:w="982"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1320"/>
          <w:jc w:val="center"/>
        </w:trPr>
        <w:tc>
          <w:tcPr>
            <w:tcW w:w="5093" w:type="dxa"/>
            <w:tcBorders>
              <w:top w:val="single" w:sz="4" w:space="0" w:color="000000"/>
              <w:left w:val="single" w:sz="4" w:space="0" w:color="000000"/>
              <w:bottom w:val="nil"/>
              <w:right w:val="nil"/>
            </w:tcBorders>
            <w:vAlign w:val="center"/>
          </w:tcPr>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17) Los actos, contratos, planillas, liquidaciones o cualquier otro acto o hecho que exteriorice operaciones de compraventa de cereales, oleaginosos y de subproductos</w:t>
            </w:r>
          </w:p>
        </w:tc>
        <w:tc>
          <w:tcPr>
            <w:tcW w:w="982" w:type="dxa"/>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single" w:sz="4" w:space="0" w:color="000000"/>
              <w:left w:val="nil"/>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2655"/>
          <w:jc w:val="center"/>
        </w:trPr>
        <w:tc>
          <w:tcPr>
            <w:tcW w:w="5093" w:type="dxa"/>
            <w:tcBorders>
              <w:top w:val="nil"/>
              <w:left w:val="single" w:sz="4" w:space="0" w:color="000000"/>
              <w:bottom w:val="single" w:sz="4"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w:t>
            </w:r>
          </w:p>
          <w:p w:rsidR="00996159" w:rsidRPr="004E491C" w:rsidRDefault="00996159" w:rsidP="00996159">
            <w:pPr>
              <w:widowControl/>
              <w:suppressAutoHyphens w:val="0"/>
              <w:spacing w:line="259" w:lineRule="auto"/>
              <w:jc w:val="both"/>
              <w:rPr>
                <w:bCs/>
              </w:rPr>
            </w:pPr>
            <w:r w:rsidRPr="004E491C">
              <w:rPr>
                <w:bCs/>
              </w:rPr>
              <w:t>Quedan exceptuadas las que correspondan a productos industrializados o los subproductos que resulten en dichos procesos, para ser reprocesados o no, y en tanto dichas operaciones sean facturadas por el industrializador.</w:t>
            </w:r>
          </w:p>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Cuando los instrumentos gravados se inscriban en la Cámara Arbitral de Cereales de Entre Ríos y/o Bolsa de Cereales de Entre Ríos, el gravamen se reducirá al:</w:t>
            </w:r>
          </w:p>
        </w:tc>
        <w:tc>
          <w:tcPr>
            <w:tcW w:w="982"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0,15%</w:t>
            </w:r>
          </w:p>
        </w:tc>
        <w:tc>
          <w:tcPr>
            <w:tcW w:w="992"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0,15%</w:t>
            </w:r>
          </w:p>
        </w:tc>
        <w:tc>
          <w:tcPr>
            <w:tcW w:w="841" w:type="dxa"/>
            <w:tcBorders>
              <w:top w:val="nil"/>
              <w:left w:val="nil"/>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5"/>
          <w:jc w:val="center"/>
        </w:trPr>
        <w:tc>
          <w:tcPr>
            <w:tcW w:w="5093" w:type="dxa"/>
            <w:vMerge w:val="restart"/>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both"/>
              <w:rPr>
                <w:bCs/>
              </w:rPr>
            </w:pPr>
            <w:r w:rsidRPr="004E491C">
              <w:rPr>
                <w:bCs/>
              </w:rPr>
              <w:t>18) Por la división de condominio sobre bienes muebles</w:t>
            </w:r>
          </w:p>
        </w:tc>
        <w:tc>
          <w:tcPr>
            <w:tcW w:w="982" w:type="dxa"/>
            <w:vMerge w:val="restart"/>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0,30%</w:t>
            </w:r>
          </w:p>
        </w:tc>
        <w:tc>
          <w:tcPr>
            <w:tcW w:w="992" w:type="dxa"/>
            <w:vMerge w:val="restart"/>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675"/>
          <w:jc w:val="center"/>
        </w:trPr>
        <w:tc>
          <w:tcPr>
            <w:tcW w:w="5093" w:type="dxa"/>
            <w:tcBorders>
              <w:top w:val="single" w:sz="4" w:space="0" w:color="000000"/>
              <w:left w:val="single" w:sz="8" w:space="0" w:color="000000"/>
              <w:bottom w:val="single" w:sz="4"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lastRenderedPageBreak/>
              <w:t xml:space="preserve">19) Por la renuncia de derechos hereditarios o </w:t>
            </w:r>
            <w:proofErr w:type="spellStart"/>
            <w:r w:rsidRPr="004E491C">
              <w:rPr>
                <w:bCs/>
              </w:rPr>
              <w:t>creditorios</w:t>
            </w:r>
            <w:proofErr w:type="spellEnd"/>
          </w:p>
        </w:tc>
        <w:tc>
          <w:tcPr>
            <w:tcW w:w="982" w:type="dxa"/>
            <w:tcBorders>
              <w:top w:val="single" w:sz="4"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single" w:sz="4" w:space="0" w:color="000000"/>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single" w:sz="4" w:space="0" w:color="000000"/>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5"/>
          <w:jc w:val="center"/>
        </w:trPr>
        <w:tc>
          <w:tcPr>
            <w:tcW w:w="5093" w:type="dxa"/>
            <w:vMerge w:val="restart"/>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rPr>
                <w:bCs/>
              </w:rPr>
            </w:pPr>
            <w:r w:rsidRPr="004E491C">
              <w:rPr>
                <w:bCs/>
              </w:rPr>
              <w:t>20) Por la disolución de la sociedad conyugal, cualquiera sea  la causa</w:t>
            </w:r>
          </w:p>
        </w:tc>
        <w:tc>
          <w:tcPr>
            <w:tcW w:w="982" w:type="dxa"/>
            <w:vMerge w:val="restart"/>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1,00%</w:t>
            </w:r>
          </w:p>
        </w:tc>
        <w:tc>
          <w:tcPr>
            <w:tcW w:w="992" w:type="dxa"/>
            <w:vMerge w:val="restart"/>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4" w:space="0" w:color="000000"/>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15"/>
          <w:jc w:val="center"/>
        </w:trPr>
        <w:tc>
          <w:tcPr>
            <w:tcW w:w="5093" w:type="dxa"/>
            <w:vMerge w:val="restart"/>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both"/>
              <w:rPr>
                <w:bCs/>
              </w:rPr>
            </w:pPr>
            <w:r w:rsidRPr="004E491C">
              <w:rPr>
                <w:bCs/>
              </w:rPr>
              <w:t>21) Actos, contratos o instrumentos de suscripción a planes o sistemas que efectúen requerimientos y/o captación de dinero al público y/o administración de fondos de tercero con la promesa de adjudicación, y/o entrega de bienes futuros, mediante patrón aleatorio (Planes de ahorro, círculos cerrados, círculos abiertos, sistemas 60 x 1.000, y/o similares)</w:t>
            </w:r>
          </w:p>
          <w:p w:rsidR="00996159" w:rsidRPr="004E491C" w:rsidRDefault="00996159" w:rsidP="00996159">
            <w:pPr>
              <w:widowControl/>
              <w:suppressAutoHyphens w:val="0"/>
              <w:spacing w:line="259" w:lineRule="auto"/>
              <w:jc w:val="both"/>
              <w:rPr>
                <w:bCs/>
              </w:rPr>
            </w:pPr>
          </w:p>
        </w:tc>
        <w:tc>
          <w:tcPr>
            <w:tcW w:w="982" w:type="dxa"/>
            <w:vMerge w:val="restart"/>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1,00%</w:t>
            </w:r>
          </w:p>
        </w:tc>
        <w:tc>
          <w:tcPr>
            <w:tcW w:w="992" w:type="dxa"/>
            <w:vMerge w:val="restart"/>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vMerge w:val="restart"/>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5093"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17"/>
          <w:jc w:val="center"/>
        </w:trPr>
        <w:tc>
          <w:tcPr>
            <w:tcW w:w="5093"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17"/>
          <w:jc w:val="center"/>
        </w:trPr>
        <w:tc>
          <w:tcPr>
            <w:tcW w:w="5093"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17"/>
          <w:jc w:val="center"/>
        </w:trPr>
        <w:tc>
          <w:tcPr>
            <w:tcW w:w="5093"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17"/>
          <w:jc w:val="center"/>
        </w:trPr>
        <w:tc>
          <w:tcPr>
            <w:tcW w:w="5093"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17"/>
          <w:jc w:val="center"/>
        </w:trPr>
        <w:tc>
          <w:tcPr>
            <w:tcW w:w="5093"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8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992"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41" w:type="dxa"/>
            <w:vMerge/>
            <w:tcBorders>
              <w:top w:val="single" w:sz="8" w:space="0" w:color="000000"/>
              <w:left w:val="single" w:sz="8" w:space="0" w:color="000000"/>
              <w:bottom w:val="single" w:sz="4"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675"/>
          <w:jc w:val="center"/>
        </w:trPr>
        <w:tc>
          <w:tcPr>
            <w:tcW w:w="5093" w:type="dxa"/>
            <w:tcBorders>
              <w:top w:val="single" w:sz="4" w:space="0" w:color="000000"/>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22) Por contratos de fideicomisos</w:t>
            </w:r>
          </w:p>
        </w:tc>
        <w:tc>
          <w:tcPr>
            <w:tcW w:w="982" w:type="dxa"/>
            <w:tcBorders>
              <w:top w:val="single" w:sz="4"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single" w:sz="4" w:space="0" w:color="000000"/>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single" w:sz="4" w:space="0" w:color="000000"/>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45"/>
          <w:jc w:val="center"/>
        </w:trPr>
        <w:tc>
          <w:tcPr>
            <w:tcW w:w="5093" w:type="dxa"/>
            <w:tcBorders>
              <w:top w:val="nil"/>
              <w:left w:val="single" w:sz="8" w:space="0" w:color="000000"/>
              <w:bottom w:val="single" w:sz="4"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23) Por contratos de leasing</w:t>
            </w:r>
          </w:p>
          <w:p w:rsidR="00996159" w:rsidRPr="004E491C" w:rsidRDefault="00996159" w:rsidP="00996159">
            <w:pPr>
              <w:widowControl/>
              <w:suppressAutoHyphens w:val="0"/>
              <w:spacing w:line="259" w:lineRule="auto"/>
              <w:rPr>
                <w:bCs/>
              </w:rPr>
            </w:pPr>
          </w:p>
        </w:tc>
        <w:tc>
          <w:tcPr>
            <w:tcW w:w="982"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841"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1980"/>
          <w:jc w:val="center"/>
        </w:trPr>
        <w:tc>
          <w:tcPr>
            <w:tcW w:w="5093" w:type="dxa"/>
            <w:tcBorders>
              <w:top w:val="single" w:sz="4" w:space="0" w:color="000000"/>
              <w:left w:val="single" w:sz="4" w:space="0" w:color="000000"/>
              <w:bottom w:val="single" w:sz="4"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t>24) Sociedades:</w:t>
            </w:r>
          </w:p>
          <w:p w:rsidR="00996159" w:rsidRPr="004E491C" w:rsidRDefault="00996159" w:rsidP="00996159">
            <w:pPr>
              <w:widowControl/>
              <w:suppressAutoHyphens w:val="0"/>
              <w:spacing w:line="259" w:lineRule="auto"/>
              <w:jc w:val="both"/>
              <w:rPr>
                <w:bCs/>
              </w:rPr>
            </w:pPr>
            <w:r w:rsidRPr="004E491C">
              <w:rPr>
                <w:bCs/>
              </w:rPr>
              <w:t>a.- Por la transferencia de fondos de comercio, de establecimientos comerciales, industriales, mineros y de cuotas o participaciones en sociedades civiles y comerciales, su valor se establecerá de acuerdo al patrimonio neto</w:t>
            </w:r>
          </w:p>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b.-  En el caso de la cesión de cuotas onerosa la alícuota se aplicará sobre el patrimonio neto prorrateado de acuerdo a la cantidad de cuotas cedidas:</w:t>
            </w:r>
          </w:p>
          <w:p w:rsidR="00996159" w:rsidRPr="004E491C" w:rsidRDefault="00996159" w:rsidP="00996159">
            <w:pPr>
              <w:widowControl/>
              <w:suppressAutoHyphens w:val="0"/>
              <w:spacing w:line="259" w:lineRule="auto"/>
              <w:jc w:val="both"/>
              <w:rPr>
                <w:bCs/>
              </w:rPr>
            </w:pPr>
            <w:r w:rsidRPr="004E491C">
              <w:rPr>
                <w:bCs/>
              </w:rPr>
              <w:t xml:space="preserve">Con un mínimo de </w:t>
            </w:r>
          </w:p>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 xml:space="preserve">c- En las modificaciones de los contratos o estatutos sociales  por los que se cambie el nombre, prorrogue o se reconduzca el plazo  de la sociedad el impuesto se determinará sobre el patrimonio neto </w:t>
            </w:r>
          </w:p>
          <w:p w:rsidR="00996159" w:rsidRPr="004E491C" w:rsidRDefault="00996159" w:rsidP="00996159">
            <w:pPr>
              <w:widowControl/>
              <w:suppressAutoHyphens w:val="0"/>
              <w:spacing w:line="259" w:lineRule="auto"/>
              <w:jc w:val="both"/>
              <w:rPr>
                <w:bCs/>
              </w:rPr>
            </w:pPr>
            <w:r w:rsidRPr="004E491C">
              <w:rPr>
                <w:bCs/>
              </w:rPr>
              <w:t xml:space="preserve">Con un mínimo de: </w:t>
            </w:r>
          </w:p>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 xml:space="preserve">d- Si se trata de una escisión el impuesto se determinara de acuerdo al patrimonio neto  que se escinde Con un mínimo de: </w:t>
            </w:r>
          </w:p>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lastRenderedPageBreak/>
              <w:t xml:space="preserve">e- Si se trata de una fusión el impuesto se determinara sobre el patrimonio neto resultante del acuerdo de fusión </w:t>
            </w:r>
          </w:p>
          <w:p w:rsidR="00996159" w:rsidRPr="004E491C" w:rsidRDefault="00996159" w:rsidP="00996159">
            <w:pPr>
              <w:widowControl/>
              <w:suppressAutoHyphens w:val="0"/>
              <w:spacing w:line="259" w:lineRule="auto"/>
              <w:jc w:val="both"/>
              <w:rPr>
                <w:bCs/>
              </w:rPr>
            </w:pPr>
            <w:r w:rsidRPr="004E491C">
              <w:rPr>
                <w:bCs/>
              </w:rPr>
              <w:t>Con un mínimo de:</w:t>
            </w:r>
          </w:p>
          <w:p w:rsidR="00996159" w:rsidRPr="004E491C" w:rsidRDefault="00996159" w:rsidP="00996159">
            <w:pPr>
              <w:widowControl/>
              <w:suppressAutoHyphens w:val="0"/>
              <w:spacing w:line="259" w:lineRule="auto"/>
              <w:jc w:val="both"/>
              <w:rPr>
                <w:bCs/>
              </w:rPr>
            </w:pPr>
            <w:r w:rsidRPr="004E491C">
              <w:rPr>
                <w:bCs/>
              </w:rPr>
              <w:t xml:space="preserve"> </w:t>
            </w:r>
          </w:p>
          <w:p w:rsidR="00996159" w:rsidRPr="004E491C" w:rsidRDefault="00996159" w:rsidP="00996159">
            <w:pPr>
              <w:widowControl/>
              <w:suppressAutoHyphens w:val="0"/>
              <w:spacing w:line="259" w:lineRule="auto"/>
              <w:jc w:val="both"/>
              <w:rPr>
                <w:bCs/>
              </w:rPr>
            </w:pPr>
            <w:r w:rsidRPr="004E491C">
              <w:rPr>
                <w:bCs/>
              </w:rPr>
              <w:t>f- En el caso de disolución, liquidación y reducción de capital, de sociedades sin perjuicio del pago de impuestos que correspondan por las adjudicaciones que se realicen</w:t>
            </w:r>
          </w:p>
          <w:p w:rsidR="00996159" w:rsidRPr="004E491C" w:rsidRDefault="00996159" w:rsidP="00996159">
            <w:pPr>
              <w:widowControl/>
              <w:suppressAutoHyphens w:val="0"/>
              <w:spacing w:line="259" w:lineRule="auto"/>
              <w:jc w:val="both"/>
              <w:rPr>
                <w:bCs/>
              </w:rPr>
            </w:pPr>
          </w:p>
        </w:tc>
        <w:tc>
          <w:tcPr>
            <w:tcW w:w="982" w:type="dxa"/>
            <w:tcBorders>
              <w:top w:val="single" w:sz="4" w:space="0" w:color="000000"/>
              <w:left w:val="single" w:sz="8" w:space="0" w:color="000000"/>
              <w:bottom w:val="single" w:sz="4" w:space="0" w:color="000000"/>
              <w:right w:val="single" w:sz="8" w:space="0" w:color="000000"/>
            </w:tcBorders>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0,50%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0,50%</w:t>
            </w:r>
          </w:p>
          <w:p w:rsidR="00996159" w:rsidRPr="004E491C" w:rsidRDefault="00996159" w:rsidP="00996159">
            <w:pPr>
              <w:widowControl/>
              <w:suppressAutoHyphens w:val="0"/>
              <w:spacing w:line="259" w:lineRule="auto"/>
              <w:jc w:val="center"/>
              <w:rPr>
                <w:bCs/>
              </w:rPr>
            </w:pPr>
            <w:r w:rsidRPr="004E491C">
              <w:rPr>
                <w:bCs/>
              </w:rPr>
              <w:t>$140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rPr>
                <w:bCs/>
              </w:rPr>
            </w:pPr>
            <w:r w:rsidRPr="004E491C">
              <w:rPr>
                <w:bCs/>
              </w:rPr>
              <w:t>0,50%</w:t>
            </w:r>
          </w:p>
          <w:p w:rsidR="00996159" w:rsidRPr="004E491C" w:rsidRDefault="00996159" w:rsidP="00996159">
            <w:pPr>
              <w:widowControl/>
              <w:suppressAutoHyphens w:val="0"/>
              <w:spacing w:line="259" w:lineRule="auto"/>
              <w:jc w:val="center"/>
              <w:rPr>
                <w:bCs/>
              </w:rPr>
            </w:pPr>
            <w:r w:rsidRPr="004E491C">
              <w:rPr>
                <w:bCs/>
              </w:rPr>
              <w:t>$140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0,50%</w:t>
            </w:r>
          </w:p>
          <w:p w:rsidR="00996159" w:rsidRPr="004E491C" w:rsidRDefault="00996159" w:rsidP="00996159">
            <w:pPr>
              <w:widowControl/>
              <w:suppressAutoHyphens w:val="0"/>
              <w:spacing w:line="259" w:lineRule="auto"/>
              <w:jc w:val="center"/>
              <w:rPr>
                <w:bCs/>
              </w:rPr>
            </w:pPr>
            <w:r w:rsidRPr="004E491C">
              <w:rPr>
                <w:bCs/>
              </w:rPr>
              <w:t>$140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0,50%</w:t>
            </w:r>
          </w:p>
          <w:p w:rsidR="00996159" w:rsidRPr="004E491C" w:rsidRDefault="00996159" w:rsidP="00996159">
            <w:pPr>
              <w:widowControl/>
              <w:suppressAutoHyphens w:val="0"/>
              <w:spacing w:line="259" w:lineRule="auto"/>
              <w:jc w:val="center"/>
              <w:rPr>
                <w:bCs/>
              </w:rPr>
            </w:pPr>
            <w:r w:rsidRPr="004E491C">
              <w:rPr>
                <w:bCs/>
              </w:rPr>
              <w:t>$140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$110</w:t>
            </w:r>
          </w:p>
        </w:tc>
        <w:tc>
          <w:tcPr>
            <w:tcW w:w="992" w:type="dxa"/>
            <w:tcBorders>
              <w:top w:val="single" w:sz="4" w:space="0" w:color="000000"/>
              <w:left w:val="nil"/>
              <w:bottom w:val="single" w:sz="4" w:space="0" w:color="000000"/>
              <w:right w:val="single" w:sz="8" w:space="0" w:color="000000"/>
            </w:tcBorders>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0,25%</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0,25%</w:t>
            </w:r>
          </w:p>
          <w:p w:rsidR="00996159" w:rsidRPr="004E491C" w:rsidRDefault="00996159" w:rsidP="00996159">
            <w:pPr>
              <w:widowControl/>
              <w:suppressAutoHyphens w:val="0"/>
              <w:spacing w:line="259" w:lineRule="auto"/>
              <w:jc w:val="center"/>
              <w:rPr>
                <w:bCs/>
              </w:rPr>
            </w:pPr>
            <w:r w:rsidRPr="004E491C">
              <w:rPr>
                <w:bCs/>
              </w:rPr>
              <w:t>$140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0,25%</w:t>
            </w:r>
          </w:p>
          <w:p w:rsidR="00996159" w:rsidRPr="004E491C" w:rsidRDefault="00996159" w:rsidP="00996159">
            <w:pPr>
              <w:widowControl/>
              <w:suppressAutoHyphens w:val="0"/>
              <w:spacing w:line="259" w:lineRule="auto"/>
              <w:jc w:val="center"/>
              <w:rPr>
                <w:bCs/>
              </w:rPr>
            </w:pPr>
            <w:r w:rsidRPr="004E491C">
              <w:rPr>
                <w:bCs/>
              </w:rPr>
              <w:t>$140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0,25%</w:t>
            </w:r>
          </w:p>
          <w:p w:rsidR="00996159" w:rsidRPr="004E491C" w:rsidRDefault="00996159" w:rsidP="00996159">
            <w:pPr>
              <w:widowControl/>
              <w:suppressAutoHyphens w:val="0"/>
              <w:spacing w:line="259" w:lineRule="auto"/>
              <w:jc w:val="center"/>
              <w:rPr>
                <w:bCs/>
              </w:rPr>
            </w:pPr>
            <w:r w:rsidRPr="004E491C">
              <w:rPr>
                <w:bCs/>
              </w:rPr>
              <w:t>$140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0,25%</w:t>
            </w:r>
          </w:p>
          <w:p w:rsidR="00996159" w:rsidRPr="004E491C" w:rsidRDefault="00996159" w:rsidP="00996159">
            <w:pPr>
              <w:widowControl/>
              <w:suppressAutoHyphens w:val="0"/>
              <w:spacing w:line="259" w:lineRule="auto"/>
              <w:jc w:val="center"/>
              <w:rPr>
                <w:bCs/>
              </w:rPr>
            </w:pPr>
            <w:r w:rsidRPr="004E491C">
              <w:rPr>
                <w:bCs/>
              </w:rPr>
              <w:t>$140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$110</w:t>
            </w:r>
          </w:p>
          <w:p w:rsidR="00996159" w:rsidRPr="004E491C" w:rsidRDefault="00996159" w:rsidP="00996159">
            <w:pPr>
              <w:widowControl/>
              <w:suppressAutoHyphens w:val="0"/>
              <w:spacing w:line="259" w:lineRule="auto"/>
              <w:jc w:val="center"/>
              <w:rPr>
                <w:bCs/>
              </w:rPr>
            </w:pPr>
          </w:p>
        </w:tc>
        <w:tc>
          <w:tcPr>
            <w:tcW w:w="841" w:type="dxa"/>
            <w:tcBorders>
              <w:top w:val="single" w:sz="4" w:space="0" w:color="000000"/>
              <w:left w:val="nil"/>
              <w:bottom w:val="single" w:sz="4" w:space="0" w:color="000000"/>
              <w:right w:val="single" w:sz="4" w:space="0" w:color="000000"/>
            </w:tcBorders>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45"/>
          <w:jc w:val="center"/>
        </w:trPr>
        <w:tc>
          <w:tcPr>
            <w:tcW w:w="5093"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both"/>
              <w:rPr>
                <w:bCs/>
              </w:rPr>
            </w:pPr>
            <w:r w:rsidRPr="004E491C">
              <w:rPr>
                <w:bCs/>
              </w:rPr>
              <w:lastRenderedPageBreak/>
              <w:t>25) Por cada copia de los actos, contratos u operaciones instrumentadas privadamente</w:t>
            </w:r>
          </w:p>
        </w:tc>
        <w:tc>
          <w:tcPr>
            <w:tcW w:w="982"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$30</w:t>
            </w:r>
          </w:p>
        </w:tc>
        <w:tc>
          <w:tcPr>
            <w:tcW w:w="841"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p>
        </w:tc>
      </w:tr>
      <w:tr w:rsidR="00996159" w:rsidRPr="004E491C" w:rsidTr="00996159">
        <w:trPr>
          <w:trHeight w:val="345"/>
          <w:jc w:val="center"/>
        </w:trPr>
        <w:tc>
          <w:tcPr>
            <w:tcW w:w="5093"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88" w:lineRule="auto"/>
              <w:ind w:hanging="2"/>
              <w:jc w:val="both"/>
              <w:rPr>
                <w:bCs/>
              </w:rPr>
            </w:pPr>
            <w:r w:rsidRPr="004E491C">
              <w:rPr>
                <w:bCs/>
              </w:rPr>
              <w:t>26) Inscripciones y transmisiones</w:t>
            </w:r>
          </w:p>
          <w:p w:rsidR="00996159" w:rsidRPr="004E491C" w:rsidRDefault="00996159" w:rsidP="00996159">
            <w:pPr>
              <w:widowControl/>
              <w:suppressAutoHyphens w:val="0"/>
              <w:spacing w:line="288" w:lineRule="auto"/>
              <w:ind w:left="848" w:hanging="850"/>
              <w:jc w:val="both"/>
              <w:rPr>
                <w:bCs/>
              </w:rPr>
            </w:pPr>
          </w:p>
          <w:p w:rsidR="00996159" w:rsidRPr="004E491C" w:rsidRDefault="00996159" w:rsidP="00996159">
            <w:pPr>
              <w:widowControl/>
              <w:suppressAutoHyphens w:val="0"/>
              <w:spacing w:line="288" w:lineRule="auto"/>
              <w:ind w:hanging="2"/>
              <w:jc w:val="both"/>
              <w:rPr>
                <w:bCs/>
              </w:rPr>
            </w:pPr>
            <w:r w:rsidRPr="004E491C">
              <w:rPr>
                <w:bCs/>
              </w:rPr>
              <w:t>a) Inscripciones de vehículos  0km.</w:t>
            </w:r>
          </w:p>
          <w:p w:rsidR="00996159" w:rsidRPr="004E491C" w:rsidRDefault="00996159" w:rsidP="00996159">
            <w:pPr>
              <w:widowControl/>
              <w:suppressAutoHyphens w:val="0"/>
              <w:spacing w:line="288" w:lineRule="auto"/>
              <w:ind w:hanging="2"/>
              <w:jc w:val="both"/>
              <w:rPr>
                <w:bCs/>
              </w:rPr>
            </w:pPr>
          </w:p>
          <w:p w:rsidR="00996159" w:rsidRPr="004E491C" w:rsidRDefault="00996159" w:rsidP="00996159">
            <w:pPr>
              <w:widowControl/>
              <w:suppressAutoHyphens w:val="0"/>
              <w:spacing w:line="259" w:lineRule="auto"/>
              <w:jc w:val="both"/>
              <w:rPr>
                <w:bCs/>
              </w:rPr>
            </w:pPr>
            <w:r w:rsidRPr="004E491C">
              <w:rPr>
                <w:bCs/>
              </w:rPr>
              <w:t>b)Transmisiones de dominio de vehículos usados</w:t>
            </w:r>
          </w:p>
          <w:p w:rsidR="00996159" w:rsidRPr="004E491C" w:rsidRDefault="00996159" w:rsidP="00996159">
            <w:pPr>
              <w:widowControl/>
              <w:suppressAutoHyphens w:val="0"/>
              <w:spacing w:line="259" w:lineRule="auto"/>
              <w:jc w:val="both"/>
              <w:rPr>
                <w:bCs/>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 xml:space="preserve"> </w:t>
            </w:r>
          </w:p>
          <w:p w:rsidR="00996159" w:rsidRPr="004E491C" w:rsidRDefault="00996159" w:rsidP="00996159">
            <w:pPr>
              <w:widowControl/>
              <w:suppressAutoHyphens w:val="0"/>
              <w:spacing w:line="259" w:lineRule="auto"/>
              <w:rPr>
                <w:bCs/>
              </w:rPr>
            </w:pPr>
            <w:r w:rsidRPr="004E491C">
              <w:rPr>
                <w:bCs/>
              </w:rPr>
              <w:t>2,25%</w:t>
            </w:r>
          </w:p>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jc w:val="center"/>
              <w:rPr>
                <w:bCs/>
              </w:rPr>
            </w:pPr>
            <w:r w:rsidRPr="004E491C">
              <w:rPr>
                <w:bCs/>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2,25%</w:t>
            </w:r>
          </w:p>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jc w:val="center"/>
              <w:rPr>
                <w:bCs/>
              </w:rPr>
            </w:pPr>
            <w:r w:rsidRPr="004E491C">
              <w:rPr>
                <w:bCs/>
              </w:rPr>
              <w:t>1%</w:t>
            </w:r>
          </w:p>
        </w:tc>
        <w:tc>
          <w:tcPr>
            <w:tcW w:w="841"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2,25%</w:t>
            </w: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1%</w:t>
            </w:r>
          </w:p>
        </w:tc>
      </w:tr>
    </w:tbl>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88" w:lineRule="auto"/>
        <w:jc w:val="both"/>
        <w:rPr>
          <w:bCs/>
        </w:rPr>
      </w:pPr>
    </w:p>
    <w:p w:rsidR="00996159" w:rsidRPr="004E491C" w:rsidRDefault="00996159" w:rsidP="004E491C">
      <w:pPr>
        <w:widowControl/>
        <w:suppressAutoHyphens w:val="0"/>
        <w:spacing w:line="360" w:lineRule="auto"/>
        <w:jc w:val="both"/>
        <w:rPr>
          <w:bCs/>
        </w:rPr>
      </w:pPr>
      <w:r w:rsidRPr="004E491C">
        <w:rPr>
          <w:bCs/>
        </w:rPr>
        <w:t>ARTÍCULO 4°: Sustitúyase el </w:t>
      </w:r>
      <w:hyperlink r:id="rId10" w:anchor="art_12">
        <w:r w:rsidRPr="004E491C">
          <w:rPr>
            <w:bCs/>
          </w:rPr>
          <w:t>Artículo 13° de la Ley N° 9622</w:t>
        </w:r>
      </w:hyperlink>
      <w:r w:rsidRPr="004E491C">
        <w:rPr>
          <w:bCs/>
        </w:rPr>
        <w:t> y modificatorias (T.O. 2018) por el siguiente:</w:t>
      </w:r>
    </w:p>
    <w:p w:rsidR="00996159" w:rsidRPr="004E491C" w:rsidRDefault="00996159" w:rsidP="004E491C">
      <w:pPr>
        <w:widowControl/>
        <w:suppressAutoHyphens w:val="0"/>
        <w:spacing w:line="360" w:lineRule="auto"/>
        <w:ind w:left="720" w:firstLine="720"/>
        <w:jc w:val="both"/>
        <w:rPr>
          <w:bCs/>
        </w:rPr>
      </w:pPr>
    </w:p>
    <w:p w:rsidR="00996159" w:rsidRPr="004E491C" w:rsidRDefault="00996159" w:rsidP="004E491C">
      <w:pPr>
        <w:widowControl/>
        <w:suppressAutoHyphens w:val="0"/>
        <w:spacing w:line="360" w:lineRule="auto"/>
        <w:jc w:val="both"/>
        <w:rPr>
          <w:bCs/>
        </w:rPr>
      </w:pPr>
      <w:r w:rsidRPr="004E491C">
        <w:rPr>
          <w:bCs/>
        </w:rPr>
        <w:t xml:space="preserve">“ARTÍCULO </w:t>
      </w:r>
      <w:hyperlink r:id="rId11" w:anchor="art_12">
        <w:r w:rsidRPr="004E491C">
          <w:rPr>
            <w:bCs/>
          </w:rPr>
          <w:t>13</w:t>
        </w:r>
      </w:hyperlink>
      <w:r w:rsidRPr="004E491C">
        <w:rPr>
          <w:bCs/>
        </w:rPr>
        <w:t>:</w:t>
      </w:r>
      <w:hyperlink r:id="rId12" w:anchor="art_12">
        <w:r w:rsidRPr="004E491C">
          <w:rPr>
            <w:bCs/>
          </w:rPr>
          <w:t xml:space="preserve"> </w:t>
        </w:r>
      </w:hyperlink>
      <w:r w:rsidRPr="004E491C">
        <w:rPr>
          <w:bCs/>
        </w:rPr>
        <w:t>“Por los actos, contratos y operaciones que a continuación se enumeran, se deberá pagar el Impuesto que en cada caso se establece:</w:t>
      </w:r>
    </w:p>
    <w:p w:rsidR="00996159" w:rsidRPr="004E491C" w:rsidRDefault="00996159" w:rsidP="00996159">
      <w:pPr>
        <w:widowControl/>
        <w:suppressAutoHyphens w:val="0"/>
        <w:spacing w:line="288" w:lineRule="auto"/>
        <w:jc w:val="both"/>
        <w:rPr>
          <w:bCs/>
        </w:rPr>
      </w:pPr>
    </w:p>
    <w:tbl>
      <w:tblPr>
        <w:tblStyle w:val="6"/>
        <w:tblW w:w="7816" w:type="dxa"/>
        <w:jc w:val="center"/>
        <w:tblInd w:w="0" w:type="dxa"/>
        <w:tblLayout w:type="fixed"/>
        <w:tblLook w:val="0000" w:firstRow="0" w:lastRow="0" w:firstColumn="0" w:lastColumn="0" w:noHBand="0" w:noVBand="0"/>
      </w:tblPr>
      <w:tblGrid>
        <w:gridCol w:w="4962"/>
        <w:gridCol w:w="860"/>
        <w:gridCol w:w="860"/>
        <w:gridCol w:w="1134"/>
      </w:tblGrid>
      <w:tr w:rsidR="00996159" w:rsidRPr="004E491C" w:rsidTr="00996159">
        <w:trPr>
          <w:trHeight w:val="315"/>
          <w:jc w:val="center"/>
        </w:trPr>
        <w:tc>
          <w:tcPr>
            <w:tcW w:w="4962" w:type="dxa"/>
            <w:tcBorders>
              <w:top w:val="single" w:sz="4" w:space="0" w:color="000000"/>
              <w:left w:val="single" w:sz="4" w:space="0" w:color="000000"/>
              <w:bottom w:val="single" w:sz="4" w:space="0" w:color="000000"/>
              <w:right w:val="single" w:sz="4" w:space="0" w:color="000000"/>
            </w:tcBorders>
            <w:vAlign w:val="bottom"/>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ACTOS Y CONTRATOS SOBRE INMUEBLES</w:t>
            </w:r>
          </w:p>
          <w:p w:rsidR="00996159" w:rsidRPr="004E491C" w:rsidRDefault="00996159" w:rsidP="00996159">
            <w:pPr>
              <w:widowControl/>
              <w:suppressAutoHyphens w:val="0"/>
              <w:spacing w:line="259" w:lineRule="auto"/>
              <w:jc w:val="center"/>
              <w:rPr>
                <w:bCs/>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2021</w:t>
            </w:r>
          </w:p>
        </w:tc>
        <w:tc>
          <w:tcPr>
            <w:tcW w:w="860"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2022</w:t>
            </w:r>
          </w:p>
        </w:tc>
        <w:tc>
          <w:tcPr>
            <w:tcW w:w="1134" w:type="dxa"/>
            <w:tcBorders>
              <w:top w:val="single" w:sz="4" w:space="0" w:color="000000"/>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2023</w:t>
            </w:r>
          </w:p>
        </w:tc>
      </w:tr>
      <w:tr w:rsidR="00996159" w:rsidRPr="004E491C" w:rsidTr="00996159">
        <w:trPr>
          <w:trHeight w:val="330"/>
          <w:jc w:val="center"/>
        </w:trPr>
        <w:tc>
          <w:tcPr>
            <w:tcW w:w="4962" w:type="dxa"/>
            <w:tcBorders>
              <w:top w:val="single" w:sz="4"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jc w:val="both"/>
              <w:rPr>
                <w:bCs/>
              </w:rPr>
            </w:pPr>
            <w:r w:rsidRPr="004E491C">
              <w:rPr>
                <w:bCs/>
              </w:rPr>
              <w:t>1) Acciones y derechos: Cesión.</w:t>
            </w:r>
          </w:p>
        </w:tc>
        <w:tc>
          <w:tcPr>
            <w:tcW w:w="860" w:type="dxa"/>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60"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1335"/>
          <w:jc w:val="center"/>
        </w:trPr>
        <w:tc>
          <w:tcPr>
            <w:tcW w:w="4962" w:type="dxa"/>
            <w:tcBorders>
              <w:top w:val="nil"/>
              <w:left w:val="single" w:sz="8" w:space="0" w:color="000000"/>
              <w:bottom w:val="single" w:sz="4"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lastRenderedPageBreak/>
              <w:t xml:space="preserve">    Por la cesión de acciones y derechos vinculados a inmuebles, derechos hereditarios y créditos hipotecarios</w:t>
            </w:r>
          </w:p>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p>
        </w:tc>
        <w:tc>
          <w:tcPr>
            <w:tcW w:w="860"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860"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1134"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30"/>
          <w:jc w:val="center"/>
        </w:trPr>
        <w:tc>
          <w:tcPr>
            <w:tcW w:w="4962" w:type="dxa"/>
            <w:tcBorders>
              <w:top w:val="single" w:sz="4" w:space="0" w:color="000000"/>
              <w:left w:val="single" w:sz="4" w:space="0" w:color="000000"/>
              <w:bottom w:val="nil"/>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2) Boletos de compraventa:</w:t>
            </w:r>
          </w:p>
          <w:p w:rsidR="00996159" w:rsidRPr="004E491C" w:rsidRDefault="00996159" w:rsidP="00996159">
            <w:pPr>
              <w:widowControl/>
              <w:suppressAutoHyphens w:val="0"/>
              <w:spacing w:line="259" w:lineRule="auto"/>
              <w:rPr>
                <w:bCs/>
              </w:rPr>
            </w:pPr>
          </w:p>
        </w:tc>
        <w:tc>
          <w:tcPr>
            <w:tcW w:w="860" w:type="dxa"/>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60"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4" w:space="0" w:color="000000"/>
              <w:left w:val="nil"/>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60"/>
          <w:jc w:val="center"/>
        </w:trPr>
        <w:tc>
          <w:tcPr>
            <w:tcW w:w="4962" w:type="dxa"/>
            <w:tcBorders>
              <w:top w:val="nil"/>
              <w:left w:val="single" w:sz="4" w:space="0" w:color="000000"/>
              <w:bottom w:val="nil"/>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Por los boletos de compraventa de bienes inmuebles</w:t>
            </w:r>
          </w:p>
        </w:tc>
        <w:tc>
          <w:tcPr>
            <w:tcW w:w="86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86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1134" w:type="dxa"/>
            <w:tcBorders>
              <w:top w:val="nil"/>
              <w:left w:val="nil"/>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30"/>
          <w:jc w:val="center"/>
        </w:trPr>
        <w:tc>
          <w:tcPr>
            <w:tcW w:w="4962" w:type="dxa"/>
            <w:tcBorders>
              <w:top w:val="nil"/>
              <w:left w:val="single" w:sz="4"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 xml:space="preserve">Con un mínimo de: </w:t>
            </w:r>
          </w:p>
        </w:tc>
        <w:tc>
          <w:tcPr>
            <w:tcW w:w="86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86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1134" w:type="dxa"/>
            <w:tcBorders>
              <w:top w:val="nil"/>
              <w:left w:val="nil"/>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1005"/>
          <w:jc w:val="center"/>
        </w:trPr>
        <w:tc>
          <w:tcPr>
            <w:tcW w:w="4962" w:type="dxa"/>
            <w:tcBorders>
              <w:top w:val="nil"/>
              <w:left w:val="single" w:sz="4" w:space="0" w:color="000000"/>
              <w:bottom w:val="single" w:sz="4"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El importe abonado será deducible del Impuesto correspondiente a la transmisión del dominio.</w:t>
            </w:r>
          </w:p>
          <w:p w:rsidR="00996159" w:rsidRPr="004E491C" w:rsidRDefault="00996159" w:rsidP="00996159">
            <w:pPr>
              <w:widowControl/>
              <w:suppressAutoHyphens w:val="0"/>
              <w:spacing w:line="259" w:lineRule="auto"/>
              <w:jc w:val="both"/>
              <w:rPr>
                <w:bCs/>
              </w:rPr>
            </w:pPr>
          </w:p>
        </w:tc>
        <w:tc>
          <w:tcPr>
            <w:tcW w:w="860"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60"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nil"/>
              <w:left w:val="nil"/>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31"/>
          <w:jc w:val="center"/>
        </w:trPr>
        <w:tc>
          <w:tcPr>
            <w:tcW w:w="4962" w:type="dxa"/>
            <w:tcBorders>
              <w:top w:val="single" w:sz="4" w:space="0" w:color="000000"/>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3) Cancelaciones:</w:t>
            </w:r>
          </w:p>
          <w:p w:rsidR="00996159" w:rsidRPr="004E491C" w:rsidRDefault="00996159" w:rsidP="00996159">
            <w:pPr>
              <w:widowControl/>
              <w:suppressAutoHyphens w:val="0"/>
              <w:spacing w:line="259" w:lineRule="auto"/>
              <w:rPr>
                <w:bCs/>
              </w:rPr>
            </w:pPr>
          </w:p>
        </w:tc>
        <w:tc>
          <w:tcPr>
            <w:tcW w:w="860" w:type="dxa"/>
            <w:tcBorders>
              <w:top w:val="single" w:sz="4" w:space="0" w:color="000000"/>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60" w:type="dxa"/>
            <w:tcBorders>
              <w:top w:val="single" w:sz="4" w:space="0" w:color="000000"/>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4" w:space="0" w:color="000000"/>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597"/>
          <w:jc w:val="center"/>
        </w:trPr>
        <w:tc>
          <w:tcPr>
            <w:tcW w:w="4962" w:type="dxa"/>
            <w:tcBorders>
              <w:top w:val="nil"/>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both"/>
              <w:rPr>
                <w:bCs/>
              </w:rPr>
            </w:pPr>
            <w:r w:rsidRPr="004E491C">
              <w:rPr>
                <w:bCs/>
              </w:rPr>
              <w:t xml:space="preserve">     Por la cancelación total o parcial de cualquier derecho real:</w:t>
            </w:r>
          </w:p>
        </w:tc>
        <w:tc>
          <w:tcPr>
            <w:tcW w:w="860" w:type="dxa"/>
            <w:tcBorders>
              <w:top w:val="nil"/>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60" w:type="dxa"/>
            <w:tcBorders>
              <w:top w:val="nil"/>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nil"/>
              <w:left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990"/>
          <w:jc w:val="center"/>
        </w:trPr>
        <w:tc>
          <w:tcPr>
            <w:tcW w:w="4962" w:type="dxa"/>
            <w:tcBorders>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a) Cuando su monto es determinado o determinable</w:t>
            </w:r>
          </w:p>
        </w:tc>
        <w:tc>
          <w:tcPr>
            <w:tcW w:w="860" w:type="dxa"/>
            <w:tcBorders>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0,40%</w:t>
            </w:r>
          </w:p>
        </w:tc>
        <w:tc>
          <w:tcPr>
            <w:tcW w:w="860" w:type="dxa"/>
            <w:tcBorders>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0,25%</w:t>
            </w:r>
          </w:p>
        </w:tc>
        <w:tc>
          <w:tcPr>
            <w:tcW w:w="1134" w:type="dxa"/>
            <w:tcBorders>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30"/>
          <w:jc w:val="center"/>
        </w:trPr>
        <w:tc>
          <w:tcPr>
            <w:tcW w:w="4962" w:type="dxa"/>
            <w:tcBorders>
              <w:top w:val="nil"/>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rPr>
                <w:bCs/>
              </w:rPr>
            </w:pPr>
            <w:r w:rsidRPr="004E491C">
              <w:rPr>
                <w:bCs/>
              </w:rPr>
              <w:t>Con un mínimo de:</w:t>
            </w:r>
          </w:p>
        </w:tc>
        <w:tc>
          <w:tcPr>
            <w:tcW w:w="860" w:type="dxa"/>
            <w:tcBorders>
              <w:top w:val="nil"/>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860" w:type="dxa"/>
            <w:tcBorders>
              <w:top w:val="nil"/>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1134" w:type="dxa"/>
            <w:tcBorders>
              <w:top w:val="nil"/>
              <w:left w:val="single" w:sz="4" w:space="0" w:color="000000"/>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1005"/>
          <w:jc w:val="center"/>
        </w:trPr>
        <w:tc>
          <w:tcPr>
            <w:tcW w:w="4962" w:type="dxa"/>
            <w:tcBorders>
              <w:top w:val="nil"/>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both"/>
              <w:rPr>
                <w:bCs/>
              </w:rPr>
            </w:pPr>
            <w:r w:rsidRPr="004E491C">
              <w:rPr>
                <w:bCs/>
              </w:rPr>
              <w:t>b)Cuando su  monto no es determinado o determinable:</w:t>
            </w:r>
          </w:p>
        </w:tc>
        <w:tc>
          <w:tcPr>
            <w:tcW w:w="860" w:type="dxa"/>
            <w:tcBorders>
              <w:top w:val="nil"/>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860" w:type="dxa"/>
            <w:tcBorders>
              <w:top w:val="nil"/>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1134" w:type="dxa"/>
            <w:tcBorders>
              <w:top w:val="nil"/>
              <w:left w:val="single" w:sz="4" w:space="0" w:color="000000"/>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rPr>
                <w:bCs/>
              </w:rPr>
            </w:pPr>
            <w:r w:rsidRPr="004E491C">
              <w:rPr>
                <w:bCs/>
              </w:rPr>
              <w:t> </w:t>
            </w:r>
          </w:p>
        </w:tc>
      </w:tr>
      <w:tr w:rsidR="00996159" w:rsidRPr="004E491C" w:rsidTr="00996159">
        <w:trPr>
          <w:trHeight w:val="330"/>
          <w:jc w:val="center"/>
        </w:trPr>
        <w:tc>
          <w:tcPr>
            <w:tcW w:w="4962" w:type="dxa"/>
            <w:tcBorders>
              <w:top w:val="single" w:sz="4"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4) Derechos reales:</w:t>
            </w:r>
          </w:p>
        </w:tc>
        <w:tc>
          <w:tcPr>
            <w:tcW w:w="860" w:type="dxa"/>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60"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1335"/>
          <w:jc w:val="center"/>
        </w:trPr>
        <w:tc>
          <w:tcPr>
            <w:tcW w:w="4962" w:type="dxa"/>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w:t>
            </w:r>
          </w:p>
          <w:p w:rsidR="00996159" w:rsidRPr="004E491C" w:rsidRDefault="00996159" w:rsidP="00996159">
            <w:pPr>
              <w:widowControl/>
              <w:suppressAutoHyphens w:val="0"/>
              <w:spacing w:line="259" w:lineRule="auto"/>
              <w:jc w:val="both"/>
              <w:rPr>
                <w:bCs/>
              </w:rPr>
            </w:pPr>
            <w:r w:rsidRPr="004E491C">
              <w:rPr>
                <w:bCs/>
              </w:rPr>
              <w:t xml:space="preserve"> Por las escrituras públicas en las que se constituyan, prorroguen, reformulen o amplíen derechos  reales  sobre inmuebles</w:t>
            </w:r>
          </w:p>
          <w:p w:rsidR="00996159" w:rsidRDefault="00996159" w:rsidP="00996159">
            <w:pPr>
              <w:widowControl/>
              <w:suppressAutoHyphens w:val="0"/>
              <w:spacing w:line="259" w:lineRule="auto"/>
              <w:jc w:val="both"/>
              <w:rPr>
                <w:bCs/>
              </w:rPr>
            </w:pPr>
          </w:p>
          <w:p w:rsidR="00BA6542" w:rsidRDefault="00BA6542" w:rsidP="00996159">
            <w:pPr>
              <w:widowControl/>
              <w:suppressAutoHyphens w:val="0"/>
              <w:spacing w:line="259" w:lineRule="auto"/>
              <w:jc w:val="both"/>
              <w:rPr>
                <w:bCs/>
              </w:rPr>
            </w:pPr>
          </w:p>
          <w:p w:rsidR="00BA6542" w:rsidRDefault="00BA6542" w:rsidP="00996159">
            <w:pPr>
              <w:widowControl/>
              <w:suppressAutoHyphens w:val="0"/>
              <w:spacing w:line="259" w:lineRule="auto"/>
              <w:jc w:val="both"/>
              <w:rPr>
                <w:bCs/>
              </w:rPr>
            </w:pPr>
          </w:p>
          <w:p w:rsidR="00BA6542" w:rsidRDefault="00BA6542" w:rsidP="00996159">
            <w:pPr>
              <w:widowControl/>
              <w:suppressAutoHyphens w:val="0"/>
              <w:spacing w:line="259" w:lineRule="auto"/>
              <w:jc w:val="both"/>
              <w:rPr>
                <w:bCs/>
              </w:rPr>
            </w:pPr>
          </w:p>
          <w:p w:rsidR="00BA6542" w:rsidRDefault="00BA6542" w:rsidP="00996159">
            <w:pPr>
              <w:widowControl/>
              <w:suppressAutoHyphens w:val="0"/>
              <w:spacing w:line="259" w:lineRule="auto"/>
              <w:jc w:val="both"/>
              <w:rPr>
                <w:bCs/>
              </w:rPr>
            </w:pPr>
          </w:p>
          <w:p w:rsidR="00BA6542" w:rsidRPr="004E491C" w:rsidRDefault="00BA6542" w:rsidP="00996159">
            <w:pPr>
              <w:widowControl/>
              <w:suppressAutoHyphens w:val="0"/>
              <w:spacing w:line="259" w:lineRule="auto"/>
              <w:jc w:val="both"/>
              <w:rPr>
                <w:bCs/>
              </w:rPr>
            </w:pPr>
          </w:p>
        </w:tc>
        <w:tc>
          <w:tcPr>
            <w:tcW w:w="860" w:type="dxa"/>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86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1134"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30"/>
          <w:jc w:val="center"/>
        </w:trPr>
        <w:tc>
          <w:tcPr>
            <w:tcW w:w="4962" w:type="dxa"/>
            <w:tcBorders>
              <w:top w:val="nil"/>
              <w:left w:val="single" w:sz="8" w:space="0" w:color="000000"/>
              <w:right w:val="nil"/>
            </w:tcBorders>
            <w:vAlign w:val="center"/>
          </w:tcPr>
          <w:p w:rsidR="00996159" w:rsidRPr="004E491C" w:rsidRDefault="00996159" w:rsidP="00996159">
            <w:pPr>
              <w:widowControl/>
              <w:suppressAutoHyphens w:val="0"/>
              <w:spacing w:line="259" w:lineRule="auto"/>
              <w:rPr>
                <w:bCs/>
              </w:rPr>
            </w:pPr>
            <w:r w:rsidRPr="004E491C">
              <w:rPr>
                <w:bCs/>
              </w:rPr>
              <w:lastRenderedPageBreak/>
              <w:t>5) Dominio:</w:t>
            </w:r>
          </w:p>
        </w:tc>
        <w:tc>
          <w:tcPr>
            <w:tcW w:w="860" w:type="dxa"/>
            <w:tcBorders>
              <w:top w:val="nil"/>
              <w:left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60" w:type="dxa"/>
            <w:tcBorders>
              <w:top w:val="single" w:sz="8" w:space="0" w:color="000000"/>
              <w:left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8" w:space="0" w:color="000000"/>
              <w:left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1320"/>
          <w:jc w:val="center"/>
        </w:trPr>
        <w:tc>
          <w:tcPr>
            <w:tcW w:w="4962" w:type="dxa"/>
            <w:tcBorders>
              <w:top w:val="nil"/>
              <w:left w:val="single" w:sz="8"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a)Por las escrituras públicas y demás actos por los que se transfiere el dominio de inmuebles</w:t>
            </w:r>
          </w:p>
        </w:tc>
        <w:tc>
          <w:tcPr>
            <w:tcW w:w="860" w:type="dxa"/>
            <w:tcBorders>
              <w:top w:val="nil"/>
              <w:left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2,30%</w:t>
            </w:r>
          </w:p>
        </w:tc>
        <w:tc>
          <w:tcPr>
            <w:tcW w:w="860" w:type="dxa"/>
            <w:tcBorders>
              <w:top w:val="nil"/>
              <w:left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2,30%</w:t>
            </w:r>
          </w:p>
        </w:tc>
        <w:tc>
          <w:tcPr>
            <w:tcW w:w="1134" w:type="dxa"/>
            <w:tcBorders>
              <w:top w:val="nil"/>
              <w:left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2,30%</w:t>
            </w:r>
          </w:p>
        </w:tc>
      </w:tr>
      <w:tr w:rsidR="00996159" w:rsidRPr="004E491C" w:rsidTr="00996159">
        <w:trPr>
          <w:trHeight w:val="3960"/>
          <w:jc w:val="center"/>
        </w:trPr>
        <w:tc>
          <w:tcPr>
            <w:tcW w:w="4962" w:type="dxa"/>
            <w:tcBorders>
              <w:left w:val="single" w:sz="8" w:space="0" w:color="000000"/>
              <w:bottom w:val="nil"/>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Cuando se dispongan nuevas actualizaciones a las valuaciones   fiscales conforme lo establecido por el Artículo 13º del Decreto Ley  Nº 6426, prorrogado por la  Ley Nº 7516, cuya entrada en vigencia no coincida con la de la Ley Impositiva del año para el cual aquellas se establecen, el Poder Ejecutivo  arbitrará los medios para mantener el nivel de imposición que surja de la aplicación de este Inciso y del Artículo 238º del Código Fiscal.</w:t>
            </w:r>
          </w:p>
        </w:tc>
        <w:tc>
          <w:tcPr>
            <w:tcW w:w="860" w:type="dxa"/>
            <w:tcBorders>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860" w:type="dxa"/>
            <w:tcBorders>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990"/>
          <w:jc w:val="center"/>
        </w:trPr>
        <w:tc>
          <w:tcPr>
            <w:tcW w:w="4962"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b)Por las adquisiciones del dominio, como consecuencia de juicios de prescripción</w:t>
            </w:r>
          </w:p>
        </w:tc>
        <w:tc>
          <w:tcPr>
            <w:tcW w:w="86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3%</w:t>
            </w:r>
          </w:p>
        </w:tc>
        <w:tc>
          <w:tcPr>
            <w:tcW w:w="86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3%</w:t>
            </w:r>
          </w:p>
        </w:tc>
        <w:tc>
          <w:tcPr>
            <w:tcW w:w="1134"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3%</w:t>
            </w:r>
          </w:p>
        </w:tc>
      </w:tr>
      <w:tr w:rsidR="00996159" w:rsidRPr="004E491C" w:rsidTr="00996159">
        <w:trPr>
          <w:trHeight w:val="990"/>
          <w:jc w:val="center"/>
        </w:trPr>
        <w:tc>
          <w:tcPr>
            <w:tcW w:w="4962"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c)Por la división de condominio</w:t>
            </w:r>
          </w:p>
        </w:tc>
        <w:tc>
          <w:tcPr>
            <w:tcW w:w="86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0,30%</w:t>
            </w:r>
          </w:p>
        </w:tc>
        <w:tc>
          <w:tcPr>
            <w:tcW w:w="86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0,30%</w:t>
            </w:r>
          </w:p>
        </w:tc>
        <w:tc>
          <w:tcPr>
            <w:tcW w:w="1134"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0,30%</w:t>
            </w:r>
          </w:p>
        </w:tc>
      </w:tr>
      <w:tr w:rsidR="00996159" w:rsidRPr="004E491C" w:rsidTr="00996159">
        <w:trPr>
          <w:trHeight w:val="1665"/>
          <w:jc w:val="center"/>
        </w:trPr>
        <w:tc>
          <w:tcPr>
            <w:tcW w:w="4962" w:type="dxa"/>
            <w:tcBorders>
              <w:top w:val="nil"/>
              <w:left w:val="single" w:sz="8" w:space="0" w:color="000000"/>
              <w:bottom w:val="single" w:sz="4"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d)Por operaciones que se refieren a la adquisición, modificación o transferencia de derechos sobre terreno para bóvedas y panteones en los cementerios</w:t>
            </w:r>
          </w:p>
          <w:p w:rsidR="00996159" w:rsidRPr="004E491C" w:rsidRDefault="00996159" w:rsidP="00996159">
            <w:pPr>
              <w:widowControl/>
              <w:suppressAutoHyphens w:val="0"/>
              <w:spacing w:line="259" w:lineRule="auto"/>
              <w:jc w:val="both"/>
              <w:rPr>
                <w:bCs/>
              </w:rPr>
            </w:pPr>
          </w:p>
        </w:tc>
        <w:tc>
          <w:tcPr>
            <w:tcW w:w="860"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860"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1134"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r>
      <w:tr w:rsidR="00996159" w:rsidRPr="004E491C" w:rsidTr="00996159">
        <w:trPr>
          <w:trHeight w:val="330"/>
          <w:jc w:val="center"/>
        </w:trPr>
        <w:tc>
          <w:tcPr>
            <w:tcW w:w="4962" w:type="dxa"/>
            <w:tcBorders>
              <w:top w:val="single" w:sz="4"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6) Propiedad Horizontal:</w:t>
            </w:r>
          </w:p>
        </w:tc>
        <w:tc>
          <w:tcPr>
            <w:tcW w:w="860" w:type="dxa"/>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60"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1005"/>
          <w:jc w:val="center"/>
        </w:trPr>
        <w:tc>
          <w:tcPr>
            <w:tcW w:w="4962" w:type="dxa"/>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Por los contratos de copropiedad, sin perjuicio de la locación de servicios</w:t>
            </w:r>
          </w:p>
        </w:tc>
        <w:tc>
          <w:tcPr>
            <w:tcW w:w="860" w:type="dxa"/>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$ 560</w:t>
            </w:r>
          </w:p>
        </w:tc>
        <w:tc>
          <w:tcPr>
            <w:tcW w:w="860"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$ 560</w:t>
            </w:r>
          </w:p>
        </w:tc>
        <w:tc>
          <w:tcPr>
            <w:tcW w:w="1134"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tc>
      </w:tr>
    </w:tbl>
    <w:p w:rsidR="00996159" w:rsidRPr="004E491C" w:rsidRDefault="00996159" w:rsidP="00996159">
      <w:pPr>
        <w:widowControl/>
        <w:suppressAutoHyphens w:val="0"/>
        <w:spacing w:line="288" w:lineRule="auto"/>
        <w:rPr>
          <w:bCs/>
        </w:rPr>
      </w:pPr>
    </w:p>
    <w:p w:rsidR="00996159" w:rsidRPr="004E491C" w:rsidRDefault="00996159" w:rsidP="004E491C">
      <w:pPr>
        <w:widowControl/>
        <w:suppressAutoHyphens w:val="0"/>
        <w:spacing w:line="360" w:lineRule="auto"/>
        <w:jc w:val="both"/>
        <w:rPr>
          <w:bCs/>
        </w:rPr>
      </w:pPr>
      <w:proofErr w:type="spellStart"/>
      <w:r w:rsidRPr="004E491C">
        <w:rPr>
          <w:bCs/>
        </w:rPr>
        <w:t>Establécese</w:t>
      </w:r>
      <w:proofErr w:type="spellEnd"/>
      <w:r w:rsidRPr="004E491C">
        <w:rPr>
          <w:bCs/>
        </w:rPr>
        <w:t xml:space="preserve"> en 2 (dos) puntos el coeficiente corrector para los inmuebles pertenecientes a la Planta Urbana </w:t>
      </w:r>
      <w:proofErr w:type="spellStart"/>
      <w:r w:rsidRPr="004E491C">
        <w:rPr>
          <w:bCs/>
        </w:rPr>
        <w:t>Subrural</w:t>
      </w:r>
      <w:proofErr w:type="spellEnd"/>
      <w:r w:rsidRPr="004E491C">
        <w:rPr>
          <w:bCs/>
        </w:rPr>
        <w:t xml:space="preserve"> y Rural de la Provincia, previsto en el Artículo 209° y siguientes del CAPÍTULO III del Código Fiscal y modificatorias. Se faculta a la </w:t>
      </w:r>
      <w:r w:rsidRPr="004E491C">
        <w:rPr>
          <w:bCs/>
        </w:rPr>
        <w:lastRenderedPageBreak/>
        <w:t>Administradora a establecer, sobre la base de los informes elaborados a tal fin por la Dirección de Catastro, un nuevo coeficiente corrector el cual podría diferir para los inmuebles pertenecientes a cada uno de los tipos de plantas definidas.</w:t>
      </w:r>
    </w:p>
    <w:p w:rsidR="00996159" w:rsidRPr="004E491C" w:rsidRDefault="00996159" w:rsidP="004E491C">
      <w:pPr>
        <w:widowControl/>
        <w:suppressAutoHyphens w:val="0"/>
        <w:spacing w:line="360" w:lineRule="auto"/>
        <w:ind w:left="720" w:firstLine="720"/>
        <w:jc w:val="both"/>
        <w:rPr>
          <w:bCs/>
        </w:rPr>
      </w:pPr>
    </w:p>
    <w:p w:rsidR="00996159" w:rsidRPr="004E491C" w:rsidRDefault="00996159" w:rsidP="004E491C">
      <w:pPr>
        <w:widowControl/>
        <w:suppressAutoHyphens w:val="0"/>
        <w:spacing w:line="360" w:lineRule="auto"/>
        <w:jc w:val="both"/>
        <w:rPr>
          <w:bCs/>
        </w:rPr>
      </w:pPr>
      <w:r w:rsidRPr="004E491C">
        <w:rPr>
          <w:bCs/>
        </w:rPr>
        <w:t>ARTÍCULO 5°: Sustitúyase el Artículo 14° de la Ley N° 9622 y modificatorias (T.O. 2018) por el siguiente:</w:t>
      </w:r>
    </w:p>
    <w:p w:rsidR="00996159" w:rsidRPr="004E491C" w:rsidRDefault="00996159" w:rsidP="004E491C">
      <w:pPr>
        <w:widowControl/>
        <w:suppressAutoHyphens w:val="0"/>
        <w:spacing w:line="360" w:lineRule="auto"/>
        <w:ind w:left="720" w:firstLine="720"/>
        <w:jc w:val="both"/>
        <w:rPr>
          <w:bCs/>
        </w:rPr>
      </w:pPr>
    </w:p>
    <w:p w:rsidR="00996159" w:rsidRPr="004E491C" w:rsidRDefault="00996159" w:rsidP="004E491C">
      <w:pPr>
        <w:widowControl/>
        <w:suppressAutoHyphens w:val="0"/>
        <w:spacing w:line="360" w:lineRule="auto"/>
        <w:jc w:val="both"/>
        <w:rPr>
          <w:bCs/>
        </w:rPr>
      </w:pPr>
      <w:r w:rsidRPr="004E491C">
        <w:rPr>
          <w:bCs/>
        </w:rPr>
        <w:t>“ARTÍCULO 14: “Por los actos, contratos y operaciones que a continuación se enumeran, se deberá pagar el Impuesto que en cada caso se establece:</w:t>
      </w:r>
    </w:p>
    <w:p w:rsidR="00996159" w:rsidRPr="004E491C" w:rsidRDefault="00996159" w:rsidP="00996159">
      <w:pPr>
        <w:widowControl/>
        <w:suppressAutoHyphens w:val="0"/>
        <w:spacing w:line="259" w:lineRule="auto"/>
        <w:ind w:left="720" w:firstLine="720"/>
        <w:jc w:val="both"/>
        <w:rPr>
          <w:bCs/>
        </w:rPr>
      </w:pPr>
    </w:p>
    <w:tbl>
      <w:tblPr>
        <w:tblStyle w:val="5"/>
        <w:tblW w:w="7786" w:type="dxa"/>
        <w:jc w:val="center"/>
        <w:tblInd w:w="0" w:type="dxa"/>
        <w:tblLayout w:type="fixed"/>
        <w:tblLook w:val="0000" w:firstRow="0" w:lastRow="0" w:firstColumn="0" w:lastColumn="0" w:noHBand="0" w:noVBand="0"/>
      </w:tblPr>
      <w:tblGrid>
        <w:gridCol w:w="4952"/>
        <w:gridCol w:w="850"/>
        <w:gridCol w:w="850"/>
        <w:gridCol w:w="1134"/>
      </w:tblGrid>
      <w:tr w:rsidR="00996159" w:rsidRPr="004E491C" w:rsidTr="00996159">
        <w:trPr>
          <w:trHeight w:val="600"/>
          <w:jc w:val="center"/>
        </w:trPr>
        <w:tc>
          <w:tcPr>
            <w:tcW w:w="4952" w:type="dxa"/>
            <w:tcBorders>
              <w:top w:val="single" w:sz="8" w:space="0" w:color="000000"/>
              <w:left w:val="single" w:sz="8" w:space="0" w:color="000000"/>
              <w:bottom w:val="single" w:sz="8" w:space="0" w:color="000000"/>
              <w:right w:val="nil"/>
            </w:tcBorders>
            <w:vAlign w:val="bottom"/>
          </w:tcPr>
          <w:p w:rsidR="00996159" w:rsidRPr="004E491C" w:rsidRDefault="00996159" w:rsidP="00996159">
            <w:pPr>
              <w:widowControl/>
              <w:suppressAutoHyphens w:val="0"/>
              <w:spacing w:line="259" w:lineRule="auto"/>
              <w:jc w:val="center"/>
              <w:rPr>
                <w:bCs/>
              </w:rPr>
            </w:pPr>
            <w:r w:rsidRPr="004E491C">
              <w:rPr>
                <w:bCs/>
              </w:rPr>
              <w:t>OPERACIONES DE TIPO COMERCIAL O BANCARIO</w:t>
            </w:r>
          </w:p>
        </w:tc>
        <w:tc>
          <w:tcPr>
            <w:tcW w:w="850" w:type="dxa"/>
            <w:tcBorders>
              <w:top w:val="single" w:sz="8" w:space="0" w:color="000000"/>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2021</w:t>
            </w:r>
          </w:p>
        </w:tc>
        <w:tc>
          <w:tcPr>
            <w:tcW w:w="850" w:type="dxa"/>
            <w:tcBorders>
              <w:top w:val="single" w:sz="8" w:space="0" w:color="000000"/>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2022</w:t>
            </w:r>
          </w:p>
        </w:tc>
        <w:tc>
          <w:tcPr>
            <w:tcW w:w="1134" w:type="dxa"/>
            <w:tcBorders>
              <w:top w:val="single" w:sz="8" w:space="0" w:color="000000"/>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2023</w:t>
            </w:r>
          </w:p>
        </w:tc>
      </w:tr>
      <w:tr w:rsidR="00996159" w:rsidRPr="004E491C" w:rsidTr="00996159">
        <w:trPr>
          <w:trHeight w:val="345"/>
          <w:jc w:val="center"/>
        </w:trPr>
        <w:tc>
          <w:tcPr>
            <w:tcW w:w="4952"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1) Adelantos en cuenta corriente:</w:t>
            </w:r>
          </w:p>
        </w:tc>
        <w:tc>
          <w:tcPr>
            <w:tcW w:w="850"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1%</w:t>
            </w:r>
          </w:p>
        </w:tc>
        <w:tc>
          <w:tcPr>
            <w:tcW w:w="850"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0,25%</w:t>
            </w:r>
          </w:p>
        </w:tc>
        <w:tc>
          <w:tcPr>
            <w:tcW w:w="1134" w:type="dxa"/>
            <w:vMerge w:val="restart"/>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675"/>
          <w:jc w:val="center"/>
        </w:trPr>
        <w:tc>
          <w:tcPr>
            <w:tcW w:w="4952" w:type="dxa"/>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 xml:space="preserve">    Por  los adelantos  en cuenta corriente</w:t>
            </w:r>
          </w:p>
        </w:tc>
        <w:tc>
          <w:tcPr>
            <w:tcW w:w="850"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50"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1134" w:type="dxa"/>
            <w:vMerge/>
            <w:tcBorders>
              <w:top w:val="nil"/>
              <w:left w:val="nil"/>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30"/>
          <w:jc w:val="center"/>
        </w:trPr>
        <w:tc>
          <w:tcPr>
            <w:tcW w:w="4952"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2) Depósitos en cuenta corriente:</w:t>
            </w:r>
          </w:p>
        </w:tc>
        <w:tc>
          <w:tcPr>
            <w:tcW w:w="85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5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315"/>
          <w:jc w:val="center"/>
        </w:trPr>
        <w:tc>
          <w:tcPr>
            <w:tcW w:w="4952" w:type="dxa"/>
            <w:vMerge w:val="restart"/>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Por los depósitos en cuenta corriente que devenguen intereses u otras retribuciones</w:t>
            </w:r>
          </w:p>
          <w:p w:rsidR="00996159" w:rsidRPr="004E491C" w:rsidRDefault="00996159" w:rsidP="00996159">
            <w:pPr>
              <w:widowControl/>
              <w:suppressAutoHyphens w:val="0"/>
              <w:spacing w:line="259" w:lineRule="auto"/>
              <w:rPr>
                <w:bCs/>
              </w:rPr>
            </w:pPr>
          </w:p>
        </w:tc>
        <w:tc>
          <w:tcPr>
            <w:tcW w:w="850"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850"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1134" w:type="dxa"/>
            <w:vMerge w:val="restart"/>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4952" w:type="dxa"/>
            <w:vMerge/>
            <w:tcBorders>
              <w:top w:val="nil"/>
              <w:left w:val="single" w:sz="8" w:space="0" w:color="000000"/>
              <w:bottom w:val="single" w:sz="8" w:space="0" w:color="000000"/>
              <w:right w:val="nil"/>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50"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50"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1134" w:type="dxa"/>
            <w:vMerge/>
            <w:tcBorders>
              <w:top w:val="nil"/>
              <w:left w:val="nil"/>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30"/>
          <w:jc w:val="center"/>
        </w:trPr>
        <w:tc>
          <w:tcPr>
            <w:tcW w:w="4952"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3) Giros y transferencias: Emisión.</w:t>
            </w:r>
          </w:p>
        </w:tc>
        <w:tc>
          <w:tcPr>
            <w:tcW w:w="85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5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60"/>
          <w:jc w:val="center"/>
        </w:trPr>
        <w:tc>
          <w:tcPr>
            <w:tcW w:w="4952"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 xml:space="preserve">    De más de Pesos Cien ($ 100)</w:t>
            </w:r>
          </w:p>
        </w:tc>
        <w:tc>
          <w:tcPr>
            <w:tcW w:w="85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0,10%</w:t>
            </w:r>
          </w:p>
        </w:tc>
        <w:tc>
          <w:tcPr>
            <w:tcW w:w="85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0,10%</w:t>
            </w:r>
          </w:p>
        </w:tc>
        <w:tc>
          <w:tcPr>
            <w:tcW w:w="1134"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45"/>
          <w:jc w:val="center"/>
        </w:trPr>
        <w:tc>
          <w:tcPr>
            <w:tcW w:w="4952" w:type="dxa"/>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 xml:space="preserve">    Con un máximo de:</w:t>
            </w:r>
          </w:p>
        </w:tc>
        <w:tc>
          <w:tcPr>
            <w:tcW w:w="850" w:type="dxa"/>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850"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$ 110</w:t>
            </w:r>
          </w:p>
        </w:tc>
        <w:tc>
          <w:tcPr>
            <w:tcW w:w="1134"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330"/>
          <w:jc w:val="center"/>
        </w:trPr>
        <w:tc>
          <w:tcPr>
            <w:tcW w:w="4952"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4) Letras de cambio:</w:t>
            </w:r>
          </w:p>
        </w:tc>
        <w:tc>
          <w:tcPr>
            <w:tcW w:w="85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5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75"/>
          <w:jc w:val="center"/>
        </w:trPr>
        <w:tc>
          <w:tcPr>
            <w:tcW w:w="4952" w:type="dxa"/>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 xml:space="preserve">     Por las letras de cambio</w:t>
            </w:r>
          </w:p>
        </w:tc>
        <w:tc>
          <w:tcPr>
            <w:tcW w:w="850" w:type="dxa"/>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850"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1134"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5"/>
          <w:jc w:val="center"/>
        </w:trPr>
        <w:tc>
          <w:tcPr>
            <w:tcW w:w="4952" w:type="dxa"/>
            <w:vMerge w:val="restart"/>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5) Ordenes de pago y de compra:      Por órdenes de pago</w:t>
            </w:r>
          </w:p>
          <w:p w:rsidR="00E1755A" w:rsidRPr="004E491C" w:rsidRDefault="00E1755A" w:rsidP="00996159">
            <w:pPr>
              <w:widowControl/>
              <w:suppressAutoHyphens w:val="0"/>
              <w:spacing w:line="259" w:lineRule="auto"/>
              <w:jc w:val="both"/>
              <w:rPr>
                <w:bCs/>
              </w:rPr>
            </w:pPr>
          </w:p>
          <w:p w:rsidR="00E1755A" w:rsidRPr="004E491C" w:rsidRDefault="00E1755A"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p>
        </w:tc>
        <w:tc>
          <w:tcPr>
            <w:tcW w:w="850"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rPr>
                <w:bCs/>
              </w:rPr>
            </w:pPr>
            <w:r w:rsidRPr="004E491C">
              <w:rPr>
                <w:bCs/>
              </w:rPr>
              <w:t>1,00%</w:t>
            </w:r>
          </w:p>
        </w:tc>
        <w:tc>
          <w:tcPr>
            <w:tcW w:w="850" w:type="dxa"/>
            <w:vMerge w:val="restart"/>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1134" w:type="dxa"/>
            <w:vMerge w:val="restart"/>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4952" w:type="dxa"/>
            <w:vMerge/>
            <w:tcBorders>
              <w:top w:val="nil"/>
              <w:left w:val="single" w:sz="8" w:space="0" w:color="000000"/>
              <w:bottom w:val="single" w:sz="8" w:space="0" w:color="000000"/>
              <w:right w:val="nil"/>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50"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50" w:type="dxa"/>
            <w:vMerge/>
            <w:tcBorders>
              <w:top w:val="nil"/>
              <w:left w:val="single" w:sz="8" w:space="0" w:color="000000"/>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1134" w:type="dxa"/>
            <w:vMerge/>
            <w:tcBorders>
              <w:top w:val="nil"/>
              <w:left w:val="nil"/>
              <w:bottom w:val="single" w:sz="8" w:space="0" w:color="000000"/>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330"/>
          <w:jc w:val="center"/>
        </w:trPr>
        <w:tc>
          <w:tcPr>
            <w:tcW w:w="4952" w:type="dxa"/>
            <w:tcBorders>
              <w:top w:val="single" w:sz="8"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p>
          <w:p w:rsidR="00996159" w:rsidRPr="004E491C" w:rsidRDefault="00996159" w:rsidP="00996159">
            <w:pPr>
              <w:widowControl/>
              <w:suppressAutoHyphens w:val="0"/>
              <w:spacing w:line="259" w:lineRule="auto"/>
              <w:rPr>
                <w:bCs/>
              </w:rPr>
            </w:pPr>
            <w:r w:rsidRPr="004E491C">
              <w:rPr>
                <w:bCs/>
              </w:rPr>
              <w:t>6) Seguros y reaseguros:</w:t>
            </w:r>
          </w:p>
          <w:p w:rsidR="00996159" w:rsidRPr="004E491C" w:rsidRDefault="00996159" w:rsidP="00996159">
            <w:pPr>
              <w:widowControl/>
              <w:suppressAutoHyphens w:val="0"/>
              <w:spacing w:line="259" w:lineRule="auto"/>
              <w:rPr>
                <w:bCs/>
              </w:rPr>
            </w:pPr>
          </w:p>
        </w:tc>
        <w:tc>
          <w:tcPr>
            <w:tcW w:w="850" w:type="dxa"/>
            <w:tcBorders>
              <w:top w:val="single" w:sz="8"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50" w:type="dxa"/>
            <w:tcBorders>
              <w:top w:val="single" w:sz="8"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8"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300"/>
          <w:jc w:val="center"/>
        </w:trPr>
        <w:tc>
          <w:tcPr>
            <w:tcW w:w="4952" w:type="dxa"/>
            <w:vMerge w:val="restart"/>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lastRenderedPageBreak/>
              <w:t xml:space="preserve">a)    Por los contratos de seguro de vida individual o colectivo </w:t>
            </w:r>
          </w:p>
        </w:tc>
        <w:tc>
          <w:tcPr>
            <w:tcW w:w="850"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0,10%</w:t>
            </w:r>
          </w:p>
        </w:tc>
        <w:tc>
          <w:tcPr>
            <w:tcW w:w="850" w:type="dxa"/>
            <w:vMerge w:val="restart"/>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0,10%</w:t>
            </w:r>
          </w:p>
        </w:tc>
        <w:tc>
          <w:tcPr>
            <w:tcW w:w="1134" w:type="dxa"/>
            <w:vMerge w:val="restart"/>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17"/>
          <w:jc w:val="center"/>
        </w:trPr>
        <w:tc>
          <w:tcPr>
            <w:tcW w:w="4952" w:type="dxa"/>
            <w:vMerge/>
            <w:tcBorders>
              <w:top w:val="nil"/>
              <w:left w:val="single" w:sz="8" w:space="0" w:color="000000"/>
              <w:bottom w:val="nil"/>
              <w:right w:val="nil"/>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50"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850" w:type="dxa"/>
            <w:vMerge/>
            <w:tcBorders>
              <w:top w:val="nil"/>
              <w:left w:val="single" w:sz="8" w:space="0" w:color="000000"/>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c>
          <w:tcPr>
            <w:tcW w:w="1134" w:type="dxa"/>
            <w:vMerge/>
            <w:tcBorders>
              <w:top w:val="nil"/>
              <w:left w:val="nil"/>
              <w:bottom w:val="nil"/>
              <w:right w:val="single" w:sz="8" w:space="0" w:color="000000"/>
            </w:tcBorders>
            <w:vAlign w:val="center"/>
          </w:tcPr>
          <w:p w:rsidR="00996159" w:rsidRPr="004E491C" w:rsidRDefault="00996159" w:rsidP="00996159">
            <w:pPr>
              <w:pBdr>
                <w:top w:val="nil"/>
                <w:left w:val="nil"/>
                <w:bottom w:val="nil"/>
                <w:right w:val="nil"/>
                <w:between w:val="nil"/>
              </w:pBdr>
              <w:suppressAutoHyphens w:val="0"/>
              <w:spacing w:line="276" w:lineRule="auto"/>
              <w:rPr>
                <w:bCs/>
              </w:rPr>
            </w:pPr>
          </w:p>
        </w:tc>
      </w:tr>
      <w:tr w:rsidR="00996159" w:rsidRPr="004E491C" w:rsidTr="00996159">
        <w:trPr>
          <w:trHeight w:val="1050"/>
          <w:jc w:val="center"/>
        </w:trPr>
        <w:tc>
          <w:tcPr>
            <w:tcW w:w="4952" w:type="dxa"/>
            <w:tcBorders>
              <w:top w:val="nil"/>
              <w:left w:val="single" w:sz="8" w:space="0" w:color="000000"/>
              <w:bottom w:val="single" w:sz="4" w:space="0" w:color="000000"/>
              <w:right w:val="nil"/>
            </w:tcBorders>
            <w:vAlign w:val="center"/>
          </w:tcPr>
          <w:p w:rsidR="00996159" w:rsidRPr="004E491C" w:rsidRDefault="00996159" w:rsidP="00996159">
            <w:pPr>
              <w:widowControl/>
              <w:suppressAutoHyphens w:val="0"/>
              <w:spacing w:line="259" w:lineRule="auto"/>
              <w:jc w:val="both"/>
              <w:rPr>
                <w:bCs/>
              </w:rPr>
            </w:pPr>
          </w:p>
          <w:p w:rsidR="00996159" w:rsidRPr="004E491C" w:rsidRDefault="00996159" w:rsidP="00996159">
            <w:pPr>
              <w:widowControl/>
              <w:suppressAutoHyphens w:val="0"/>
              <w:spacing w:line="259" w:lineRule="auto"/>
              <w:jc w:val="both"/>
              <w:rPr>
                <w:bCs/>
              </w:rPr>
            </w:pPr>
            <w:r w:rsidRPr="004E491C">
              <w:rPr>
                <w:bCs/>
              </w:rPr>
              <w:t>b)    Por los contratos de seguros de cualquier naturaleza, excepto de vida</w:t>
            </w:r>
          </w:p>
          <w:p w:rsidR="00996159" w:rsidRPr="004E491C" w:rsidRDefault="00996159" w:rsidP="00996159">
            <w:pPr>
              <w:widowControl/>
              <w:suppressAutoHyphens w:val="0"/>
              <w:spacing w:line="259" w:lineRule="auto"/>
              <w:jc w:val="both"/>
              <w:rPr>
                <w:bCs/>
              </w:rPr>
            </w:pPr>
            <w:r w:rsidRPr="004E491C">
              <w:rPr>
                <w:bCs/>
              </w:rPr>
              <w:t xml:space="preserve"> </w:t>
            </w:r>
          </w:p>
          <w:p w:rsidR="00996159" w:rsidRPr="004E491C" w:rsidRDefault="00996159" w:rsidP="00996159">
            <w:pPr>
              <w:widowControl/>
              <w:suppressAutoHyphens w:val="0"/>
              <w:spacing w:line="259" w:lineRule="auto"/>
              <w:jc w:val="both"/>
              <w:rPr>
                <w:bCs/>
              </w:rPr>
            </w:pPr>
          </w:p>
        </w:tc>
        <w:tc>
          <w:tcPr>
            <w:tcW w:w="850"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850"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1134"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30"/>
          <w:jc w:val="center"/>
        </w:trPr>
        <w:tc>
          <w:tcPr>
            <w:tcW w:w="4952" w:type="dxa"/>
            <w:tcBorders>
              <w:top w:val="single" w:sz="4" w:space="0" w:color="000000"/>
              <w:left w:val="single" w:sz="4"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7) Cheques:</w:t>
            </w:r>
          </w:p>
        </w:tc>
        <w:tc>
          <w:tcPr>
            <w:tcW w:w="850" w:type="dxa"/>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850"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4" w:space="0" w:color="000000"/>
              <w:left w:val="nil"/>
              <w:bottom w:val="nil"/>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75"/>
          <w:jc w:val="center"/>
        </w:trPr>
        <w:tc>
          <w:tcPr>
            <w:tcW w:w="4952" w:type="dxa"/>
            <w:tcBorders>
              <w:top w:val="nil"/>
              <w:left w:val="single" w:sz="4" w:space="0" w:color="000000"/>
              <w:bottom w:val="single" w:sz="4" w:space="0" w:color="000000"/>
              <w:right w:val="nil"/>
            </w:tcBorders>
            <w:vAlign w:val="center"/>
          </w:tcPr>
          <w:p w:rsidR="00996159" w:rsidRPr="004E491C" w:rsidRDefault="00996159" w:rsidP="00996159">
            <w:pPr>
              <w:widowControl/>
              <w:suppressAutoHyphens w:val="0"/>
              <w:spacing w:line="259" w:lineRule="auto"/>
              <w:rPr>
                <w:bCs/>
              </w:rPr>
            </w:pPr>
            <w:r w:rsidRPr="004E491C">
              <w:rPr>
                <w:bCs/>
              </w:rPr>
              <w:t xml:space="preserve">     Por cada cheque</w:t>
            </w:r>
          </w:p>
        </w:tc>
        <w:tc>
          <w:tcPr>
            <w:tcW w:w="850" w:type="dxa"/>
            <w:tcBorders>
              <w:top w:val="nil"/>
              <w:left w:val="single" w:sz="8" w:space="0" w:color="000000"/>
              <w:bottom w:val="single" w:sz="4" w:space="0" w:color="000000"/>
              <w:right w:val="single" w:sz="8" w:space="0" w:color="000000"/>
            </w:tcBorders>
            <w:vAlign w:val="center"/>
          </w:tcPr>
          <w:p w:rsidR="00996159" w:rsidRPr="004E491C" w:rsidRDefault="00996159" w:rsidP="00996159">
            <w:pPr>
              <w:widowControl/>
              <w:suppressAutoHyphens w:val="0"/>
              <w:spacing w:line="259" w:lineRule="auto"/>
              <w:rPr>
                <w:bCs/>
              </w:rPr>
            </w:pPr>
            <w:r w:rsidRPr="004E491C">
              <w:rPr>
                <w:bCs/>
              </w:rPr>
              <w:t>$0,60</w:t>
            </w:r>
          </w:p>
        </w:tc>
        <w:tc>
          <w:tcPr>
            <w:tcW w:w="850" w:type="dxa"/>
            <w:tcBorders>
              <w:top w:val="nil"/>
              <w:left w:val="nil"/>
              <w:bottom w:val="single" w:sz="4"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$0,60</w:t>
            </w:r>
          </w:p>
        </w:tc>
        <w:tc>
          <w:tcPr>
            <w:tcW w:w="1134" w:type="dxa"/>
            <w:tcBorders>
              <w:top w:val="nil"/>
              <w:left w:val="nil"/>
              <w:bottom w:val="single" w:sz="4" w:space="0" w:color="000000"/>
              <w:right w:val="single" w:sz="4"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30"/>
          <w:jc w:val="center"/>
        </w:trPr>
        <w:tc>
          <w:tcPr>
            <w:tcW w:w="4952" w:type="dxa"/>
            <w:tcBorders>
              <w:top w:val="single" w:sz="4"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8) Pagarés:</w:t>
            </w:r>
          </w:p>
        </w:tc>
        <w:tc>
          <w:tcPr>
            <w:tcW w:w="850" w:type="dxa"/>
            <w:tcBorders>
              <w:top w:val="single" w:sz="4"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50"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4"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675"/>
          <w:jc w:val="center"/>
        </w:trPr>
        <w:tc>
          <w:tcPr>
            <w:tcW w:w="4952" w:type="dxa"/>
            <w:tcBorders>
              <w:top w:val="nil"/>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 xml:space="preserve">     Por pagarés </w:t>
            </w:r>
          </w:p>
        </w:tc>
        <w:tc>
          <w:tcPr>
            <w:tcW w:w="850" w:type="dxa"/>
            <w:tcBorders>
              <w:top w:val="nil"/>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1%</w:t>
            </w:r>
          </w:p>
        </w:tc>
        <w:tc>
          <w:tcPr>
            <w:tcW w:w="850"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0,25%</w:t>
            </w:r>
          </w:p>
        </w:tc>
        <w:tc>
          <w:tcPr>
            <w:tcW w:w="1134" w:type="dxa"/>
            <w:tcBorders>
              <w:top w:val="nil"/>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0%</w:t>
            </w:r>
          </w:p>
        </w:tc>
      </w:tr>
      <w:tr w:rsidR="00996159" w:rsidRPr="004E491C" w:rsidTr="00996159">
        <w:trPr>
          <w:trHeight w:val="330"/>
          <w:jc w:val="center"/>
        </w:trPr>
        <w:tc>
          <w:tcPr>
            <w:tcW w:w="4952" w:type="dxa"/>
            <w:tcBorders>
              <w:top w:val="single" w:sz="8" w:space="0" w:color="000000"/>
              <w:left w:val="single" w:sz="8" w:space="0" w:color="000000"/>
              <w:bottom w:val="nil"/>
              <w:right w:val="nil"/>
            </w:tcBorders>
            <w:vAlign w:val="center"/>
          </w:tcPr>
          <w:p w:rsidR="00996159" w:rsidRPr="004E491C" w:rsidRDefault="00996159" w:rsidP="00996159">
            <w:pPr>
              <w:widowControl/>
              <w:suppressAutoHyphens w:val="0"/>
              <w:spacing w:line="259" w:lineRule="auto"/>
              <w:rPr>
                <w:bCs/>
              </w:rPr>
            </w:pPr>
            <w:r w:rsidRPr="004E491C">
              <w:rPr>
                <w:bCs/>
              </w:rPr>
              <w:t xml:space="preserve">9) Tarjetas de crédito o compras: </w:t>
            </w:r>
          </w:p>
        </w:tc>
        <w:tc>
          <w:tcPr>
            <w:tcW w:w="850" w:type="dxa"/>
            <w:tcBorders>
              <w:top w:val="single" w:sz="8" w:space="0" w:color="000000"/>
              <w:left w:val="single" w:sz="8" w:space="0" w:color="000000"/>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xml:space="preserve"> </w:t>
            </w:r>
          </w:p>
        </w:tc>
        <w:tc>
          <w:tcPr>
            <w:tcW w:w="850" w:type="dxa"/>
            <w:tcBorders>
              <w:top w:val="single" w:sz="8"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c>
          <w:tcPr>
            <w:tcW w:w="1134" w:type="dxa"/>
            <w:tcBorders>
              <w:top w:val="single" w:sz="8" w:space="0" w:color="000000"/>
              <w:left w:val="nil"/>
              <w:bottom w:val="nil"/>
              <w:right w:val="single" w:sz="8" w:space="0" w:color="000000"/>
            </w:tcBorders>
            <w:vAlign w:val="center"/>
          </w:tcPr>
          <w:p w:rsidR="00996159" w:rsidRPr="004E491C" w:rsidRDefault="00996159" w:rsidP="00996159">
            <w:pPr>
              <w:widowControl/>
              <w:suppressAutoHyphens w:val="0"/>
              <w:spacing w:line="259" w:lineRule="auto"/>
              <w:jc w:val="center"/>
              <w:rPr>
                <w:bCs/>
              </w:rPr>
            </w:pPr>
            <w:r w:rsidRPr="004E491C">
              <w:rPr>
                <w:bCs/>
              </w:rPr>
              <w:t> </w:t>
            </w:r>
          </w:p>
        </w:tc>
      </w:tr>
      <w:tr w:rsidR="00996159" w:rsidRPr="004E491C" w:rsidTr="00996159">
        <w:trPr>
          <w:trHeight w:val="1005"/>
          <w:jc w:val="center"/>
        </w:trPr>
        <w:tc>
          <w:tcPr>
            <w:tcW w:w="4952" w:type="dxa"/>
            <w:tcBorders>
              <w:top w:val="nil"/>
              <w:left w:val="single" w:sz="8" w:space="0" w:color="000000"/>
              <w:bottom w:val="single" w:sz="8" w:space="0" w:color="000000"/>
              <w:right w:val="nil"/>
            </w:tcBorders>
            <w:vAlign w:val="center"/>
          </w:tcPr>
          <w:p w:rsidR="00996159" w:rsidRPr="004E491C" w:rsidRDefault="00996159" w:rsidP="00996159">
            <w:pPr>
              <w:widowControl/>
              <w:suppressAutoHyphens w:val="0"/>
              <w:spacing w:line="259" w:lineRule="auto"/>
              <w:jc w:val="both"/>
              <w:rPr>
                <w:bCs/>
              </w:rPr>
            </w:pPr>
            <w:r w:rsidRPr="004E491C">
              <w:rPr>
                <w:bCs/>
              </w:rPr>
              <w:t xml:space="preserve">     Por los débitos efectuados a los tenedores de tarjetas de crédito o  compras</w:t>
            </w:r>
          </w:p>
        </w:tc>
        <w:tc>
          <w:tcPr>
            <w:tcW w:w="850" w:type="dxa"/>
            <w:tcBorders>
              <w:top w:val="nil"/>
              <w:left w:val="single" w:sz="8" w:space="0" w:color="000000"/>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1%</w:t>
            </w:r>
          </w:p>
        </w:tc>
        <w:tc>
          <w:tcPr>
            <w:tcW w:w="850"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0,25%</w:t>
            </w:r>
          </w:p>
        </w:tc>
        <w:tc>
          <w:tcPr>
            <w:tcW w:w="1134" w:type="dxa"/>
            <w:tcBorders>
              <w:top w:val="nil"/>
              <w:left w:val="nil"/>
              <w:bottom w:val="single" w:sz="8" w:space="0" w:color="000000"/>
              <w:right w:val="single" w:sz="8" w:space="0" w:color="000000"/>
            </w:tcBorders>
            <w:vAlign w:val="center"/>
          </w:tcPr>
          <w:p w:rsidR="00996159" w:rsidRPr="004E491C" w:rsidRDefault="00996159" w:rsidP="00996159">
            <w:pPr>
              <w:widowControl/>
              <w:suppressAutoHyphens w:val="0"/>
              <w:spacing w:line="259" w:lineRule="auto"/>
              <w:jc w:val="center"/>
              <w:rPr>
                <w:bCs/>
              </w:rPr>
            </w:pPr>
          </w:p>
          <w:p w:rsidR="00996159" w:rsidRPr="004E491C" w:rsidRDefault="00996159" w:rsidP="00996159">
            <w:pPr>
              <w:widowControl/>
              <w:suppressAutoHyphens w:val="0"/>
              <w:spacing w:line="259" w:lineRule="auto"/>
              <w:jc w:val="center"/>
              <w:rPr>
                <w:bCs/>
              </w:rPr>
            </w:pPr>
            <w:r w:rsidRPr="004E491C">
              <w:rPr>
                <w:bCs/>
              </w:rPr>
              <w:t>0%</w:t>
            </w:r>
          </w:p>
        </w:tc>
      </w:tr>
    </w:tbl>
    <w:p w:rsidR="00996159" w:rsidRPr="004E491C" w:rsidRDefault="00996159" w:rsidP="00996159">
      <w:pPr>
        <w:widowControl/>
        <w:suppressAutoHyphens w:val="0"/>
        <w:spacing w:line="276" w:lineRule="auto"/>
        <w:jc w:val="both"/>
        <w:rPr>
          <w:bCs/>
        </w:rPr>
      </w:pPr>
    </w:p>
    <w:p w:rsidR="00996159" w:rsidRPr="004E491C" w:rsidRDefault="00996159" w:rsidP="00996159">
      <w:pPr>
        <w:widowControl/>
        <w:suppressAutoHyphens w:val="0"/>
        <w:spacing w:line="259" w:lineRule="auto"/>
        <w:ind w:left="720" w:firstLine="720"/>
        <w:jc w:val="both"/>
        <w:rPr>
          <w:bCs/>
        </w:rPr>
      </w:pPr>
    </w:p>
    <w:p w:rsidR="00996159" w:rsidRPr="004E491C" w:rsidRDefault="00996159" w:rsidP="004E491C">
      <w:pPr>
        <w:widowControl/>
        <w:suppressAutoHyphens w:val="0"/>
        <w:spacing w:line="360" w:lineRule="auto"/>
        <w:jc w:val="both"/>
        <w:rPr>
          <w:bCs/>
        </w:rPr>
      </w:pPr>
      <w:r w:rsidRPr="004E491C">
        <w:rPr>
          <w:bCs/>
        </w:rPr>
        <w:t xml:space="preserve">ARTÍCULO 6 °: </w:t>
      </w:r>
      <w:proofErr w:type="spellStart"/>
      <w:r w:rsidRPr="004E491C">
        <w:rPr>
          <w:bCs/>
        </w:rPr>
        <w:t>Sustitúyese</w:t>
      </w:r>
      <w:proofErr w:type="spellEnd"/>
      <w:r w:rsidRPr="004E491C">
        <w:rPr>
          <w:bCs/>
        </w:rPr>
        <w:t xml:space="preserve"> el nuevo Artículo incorporado por el Artículo 9º de la Ley Nº 10.781 a continuación del Artículo 35º de la Ley Impositiva N° 9.622 y modificatorias (T.O. 2018) por el siguiente texto:</w:t>
      </w:r>
    </w:p>
    <w:p w:rsidR="00996159" w:rsidRPr="004E491C" w:rsidRDefault="00996159" w:rsidP="004E491C">
      <w:pPr>
        <w:widowControl/>
        <w:suppressAutoHyphens w:val="0"/>
        <w:spacing w:line="360" w:lineRule="auto"/>
        <w:jc w:val="both"/>
        <w:rPr>
          <w:bCs/>
        </w:rPr>
      </w:pPr>
    </w:p>
    <w:p w:rsidR="00996159" w:rsidRPr="004E491C" w:rsidRDefault="00996159" w:rsidP="004E491C">
      <w:pPr>
        <w:widowControl/>
        <w:suppressAutoHyphens w:val="0"/>
        <w:spacing w:line="360" w:lineRule="auto"/>
        <w:jc w:val="both"/>
        <w:rPr>
          <w:bCs/>
        </w:rPr>
      </w:pPr>
      <w:r w:rsidRPr="004E491C">
        <w:rPr>
          <w:bCs/>
        </w:rPr>
        <w:t>“ARTÍCULO NUEVO: Para la integración del Fondo de Asistencia Social previsto en la Ley N° 4035, Artículo 9º, se aplicarán los siguientes gravámenes:</w:t>
      </w:r>
    </w:p>
    <w:p w:rsidR="00996159" w:rsidRPr="004E491C" w:rsidRDefault="00996159" w:rsidP="004E491C">
      <w:pPr>
        <w:widowControl/>
        <w:suppressAutoHyphens w:val="0"/>
        <w:spacing w:line="360" w:lineRule="auto"/>
        <w:ind w:left="720"/>
        <w:jc w:val="both"/>
        <w:rPr>
          <w:bCs/>
        </w:rPr>
      </w:pPr>
      <w:bookmarkStart w:id="1" w:name="_heading=h.gjdgxs" w:colFirst="0" w:colLast="0"/>
      <w:bookmarkEnd w:id="1"/>
      <w:r w:rsidRPr="004E491C">
        <w:rPr>
          <w:bCs/>
        </w:rPr>
        <w:t>a)</w:t>
      </w:r>
      <w:r w:rsidRPr="004E491C">
        <w:rPr>
          <w:bCs/>
        </w:rPr>
        <w:tab/>
        <w:t>El Aporte patronal se determinará aplicando la alícuota sobre el monto mensual devengado en concepto de remuneración a las personas que guarden con el aportante relación de dependencia. A los fines de este inciso se entiende por relación de dependencia y remuneración a cualquiera de los modos y formas establecidos por la legislación laboral o administrativa de fondo. Este aporte debe ser satisfecho aún por aquéllos que estuvieren exceptuados de otras obligaciones fiscales.</w:t>
      </w:r>
    </w:p>
    <w:p w:rsidR="00996159" w:rsidRPr="004E491C" w:rsidRDefault="00996159" w:rsidP="004E491C">
      <w:pPr>
        <w:widowControl/>
        <w:suppressAutoHyphens w:val="0"/>
        <w:spacing w:line="360" w:lineRule="auto"/>
        <w:jc w:val="both"/>
        <w:rPr>
          <w:bCs/>
        </w:rPr>
      </w:pPr>
    </w:p>
    <w:p w:rsidR="00996159" w:rsidRPr="004E491C" w:rsidRDefault="00996159" w:rsidP="004E491C">
      <w:pPr>
        <w:widowControl/>
        <w:suppressAutoHyphens w:val="0"/>
        <w:spacing w:line="360" w:lineRule="auto"/>
        <w:jc w:val="both"/>
        <w:rPr>
          <w:bCs/>
        </w:rPr>
      </w:pPr>
      <w:r w:rsidRPr="004E491C">
        <w:rPr>
          <w:bCs/>
        </w:rPr>
        <w:lastRenderedPageBreak/>
        <w:t xml:space="preserve">La alícuota del Aporte Patronal se determinará en función de la categoría que cada contribuyente asuma según el procedimiento dispuesto en el Artículo 191° del Código Fiscal, y será la que se establece desde el día primero de los meses que se indican a continuación, en cada caso: </w:t>
      </w:r>
    </w:p>
    <w:p w:rsidR="00996159" w:rsidRPr="004E491C" w:rsidRDefault="00996159" w:rsidP="004E491C">
      <w:pPr>
        <w:widowControl/>
        <w:suppressAutoHyphens w:val="0"/>
        <w:spacing w:after="160" w:line="360" w:lineRule="auto"/>
        <w:rPr>
          <w:bCs/>
        </w:rPr>
      </w:pPr>
    </w:p>
    <w:tbl>
      <w:tblPr>
        <w:tblStyle w:val="4"/>
        <w:tblW w:w="9797" w:type="dxa"/>
        <w:jc w:val="center"/>
        <w:tblInd w:w="0" w:type="dxa"/>
        <w:tblLayout w:type="fixed"/>
        <w:tblLook w:val="0400" w:firstRow="0" w:lastRow="0" w:firstColumn="0" w:lastColumn="0" w:noHBand="0" w:noVBand="1"/>
      </w:tblPr>
      <w:tblGrid>
        <w:gridCol w:w="1642"/>
        <w:gridCol w:w="1983"/>
        <w:gridCol w:w="1984"/>
        <w:gridCol w:w="1984"/>
        <w:gridCol w:w="2204"/>
      </w:tblGrid>
      <w:tr w:rsidR="00996159" w:rsidRPr="004E491C" w:rsidTr="00996159">
        <w:trPr>
          <w:trHeight w:val="473"/>
          <w:jc w:val="center"/>
        </w:trPr>
        <w:tc>
          <w:tcPr>
            <w:tcW w:w="1642" w:type="dxa"/>
            <w:tcBorders>
              <w:top w:val="single" w:sz="8" w:space="0" w:color="000000"/>
              <w:left w:val="single" w:sz="8"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right="92"/>
              <w:rPr>
                <w:bCs/>
              </w:rPr>
            </w:pPr>
            <w:r w:rsidRPr="004E491C">
              <w:rPr>
                <w:bCs/>
              </w:rPr>
              <w:t>Categoría</w:t>
            </w:r>
          </w:p>
        </w:tc>
        <w:tc>
          <w:tcPr>
            <w:tcW w:w="1983" w:type="dxa"/>
            <w:tcBorders>
              <w:top w:val="single" w:sz="8"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40"/>
              <w:jc w:val="center"/>
              <w:rPr>
                <w:bCs/>
              </w:rPr>
            </w:pPr>
            <w:r w:rsidRPr="004E491C">
              <w:rPr>
                <w:bCs/>
              </w:rPr>
              <w:t>Diciembre    2020</w:t>
            </w:r>
          </w:p>
        </w:tc>
        <w:tc>
          <w:tcPr>
            <w:tcW w:w="1984" w:type="dxa"/>
            <w:tcBorders>
              <w:top w:val="single" w:sz="8"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jc w:val="center"/>
              <w:rPr>
                <w:bCs/>
              </w:rPr>
            </w:pPr>
            <w:r w:rsidRPr="004E491C">
              <w:rPr>
                <w:bCs/>
              </w:rPr>
              <w:t>Enero    2021</w:t>
            </w:r>
          </w:p>
        </w:tc>
        <w:tc>
          <w:tcPr>
            <w:tcW w:w="1984" w:type="dxa"/>
            <w:tcBorders>
              <w:top w:val="single" w:sz="8"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jc w:val="center"/>
              <w:rPr>
                <w:bCs/>
              </w:rPr>
            </w:pPr>
            <w:r w:rsidRPr="004E491C">
              <w:rPr>
                <w:bCs/>
              </w:rPr>
              <w:t>Julio    2021</w:t>
            </w:r>
          </w:p>
        </w:tc>
        <w:tc>
          <w:tcPr>
            <w:tcW w:w="2204" w:type="dxa"/>
            <w:tcBorders>
              <w:top w:val="single" w:sz="8"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360"/>
              <w:jc w:val="center"/>
              <w:rPr>
                <w:bCs/>
              </w:rPr>
            </w:pPr>
            <w:r w:rsidRPr="004E491C">
              <w:rPr>
                <w:bCs/>
              </w:rPr>
              <w:t>Diciembre 2021</w:t>
            </w:r>
          </w:p>
        </w:tc>
      </w:tr>
      <w:tr w:rsidR="00996159" w:rsidRPr="004E491C" w:rsidTr="00996159">
        <w:trPr>
          <w:trHeight w:val="513"/>
          <w:jc w:val="center"/>
        </w:trPr>
        <w:tc>
          <w:tcPr>
            <w:tcW w:w="1642" w:type="dxa"/>
            <w:tcBorders>
              <w:top w:val="single" w:sz="4" w:space="0" w:color="000000"/>
              <w:left w:val="single" w:sz="8"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right="52"/>
              <w:jc w:val="center"/>
              <w:rPr>
                <w:bCs/>
              </w:rPr>
            </w:pPr>
          </w:p>
          <w:p w:rsidR="00996159" w:rsidRPr="004E491C" w:rsidRDefault="00996159" w:rsidP="00996159">
            <w:pPr>
              <w:widowControl/>
              <w:suppressAutoHyphens w:val="0"/>
              <w:spacing w:after="160" w:line="259" w:lineRule="auto"/>
              <w:ind w:right="52"/>
              <w:jc w:val="center"/>
              <w:rPr>
                <w:bCs/>
              </w:rPr>
            </w:pPr>
            <w:r w:rsidRPr="004E491C">
              <w:rPr>
                <w:bCs/>
              </w:rPr>
              <w:t>No Pyme</w:t>
            </w:r>
          </w:p>
        </w:tc>
        <w:tc>
          <w:tcPr>
            <w:tcW w:w="1983"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0,00%</w:t>
            </w:r>
          </w:p>
        </w:tc>
        <w:tc>
          <w:tcPr>
            <w:tcW w:w="198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0,00%</w:t>
            </w:r>
          </w:p>
        </w:tc>
        <w:tc>
          <w:tcPr>
            <w:tcW w:w="198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0,00%</w:t>
            </w:r>
          </w:p>
        </w:tc>
        <w:tc>
          <w:tcPr>
            <w:tcW w:w="220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jc w:val="center"/>
              <w:rPr>
                <w:bCs/>
              </w:rPr>
            </w:pPr>
            <w:r w:rsidRPr="004E491C">
              <w:rPr>
                <w:bCs/>
              </w:rPr>
              <w:t>0,00%</w:t>
            </w:r>
          </w:p>
        </w:tc>
      </w:tr>
      <w:tr w:rsidR="00996159" w:rsidRPr="004E491C" w:rsidTr="00996159">
        <w:trPr>
          <w:trHeight w:val="428"/>
          <w:jc w:val="center"/>
        </w:trPr>
        <w:tc>
          <w:tcPr>
            <w:tcW w:w="1642" w:type="dxa"/>
            <w:tcBorders>
              <w:top w:val="single" w:sz="4" w:space="0" w:color="000000"/>
              <w:left w:val="single" w:sz="8"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right="32"/>
              <w:jc w:val="center"/>
              <w:rPr>
                <w:bCs/>
              </w:rPr>
            </w:pPr>
            <w:r w:rsidRPr="004E491C">
              <w:rPr>
                <w:bCs/>
              </w:rPr>
              <w:t xml:space="preserve">Medianos  </w:t>
            </w:r>
          </w:p>
          <w:p w:rsidR="00996159" w:rsidRPr="004E491C" w:rsidRDefault="00996159" w:rsidP="00996159">
            <w:pPr>
              <w:widowControl/>
              <w:suppressAutoHyphens w:val="0"/>
              <w:spacing w:after="160" w:line="259" w:lineRule="auto"/>
              <w:ind w:right="32"/>
              <w:jc w:val="center"/>
              <w:rPr>
                <w:bCs/>
              </w:rPr>
            </w:pPr>
            <w:r w:rsidRPr="004E491C">
              <w:rPr>
                <w:bCs/>
              </w:rPr>
              <w:t xml:space="preserve"> 1 y 2 </w:t>
            </w:r>
          </w:p>
        </w:tc>
        <w:tc>
          <w:tcPr>
            <w:tcW w:w="1983"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0,00%</w:t>
            </w:r>
          </w:p>
        </w:tc>
        <w:tc>
          <w:tcPr>
            <w:tcW w:w="198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0,50%</w:t>
            </w:r>
          </w:p>
        </w:tc>
        <w:tc>
          <w:tcPr>
            <w:tcW w:w="198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0,00%</w:t>
            </w:r>
          </w:p>
        </w:tc>
        <w:tc>
          <w:tcPr>
            <w:tcW w:w="220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jc w:val="center"/>
              <w:rPr>
                <w:bCs/>
              </w:rPr>
            </w:pPr>
            <w:r w:rsidRPr="004E491C">
              <w:rPr>
                <w:bCs/>
              </w:rPr>
              <w:t>0,00%</w:t>
            </w:r>
          </w:p>
        </w:tc>
      </w:tr>
      <w:tr w:rsidR="00996159" w:rsidRPr="004E491C" w:rsidTr="00996159">
        <w:trPr>
          <w:trHeight w:val="418"/>
          <w:jc w:val="center"/>
        </w:trPr>
        <w:tc>
          <w:tcPr>
            <w:tcW w:w="1642" w:type="dxa"/>
            <w:tcBorders>
              <w:top w:val="single" w:sz="4" w:space="0" w:color="000000"/>
              <w:left w:val="single" w:sz="8"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jc w:val="center"/>
              <w:rPr>
                <w:bCs/>
              </w:rPr>
            </w:pPr>
            <w:r w:rsidRPr="004E491C">
              <w:rPr>
                <w:bCs/>
              </w:rPr>
              <w:t>Resto de las categorías</w:t>
            </w:r>
          </w:p>
        </w:tc>
        <w:tc>
          <w:tcPr>
            <w:tcW w:w="1983"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0,75%</w:t>
            </w:r>
          </w:p>
        </w:tc>
        <w:tc>
          <w:tcPr>
            <w:tcW w:w="198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1,00%</w:t>
            </w:r>
          </w:p>
        </w:tc>
        <w:tc>
          <w:tcPr>
            <w:tcW w:w="198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ind w:left="480"/>
              <w:rPr>
                <w:bCs/>
              </w:rPr>
            </w:pPr>
            <w:r w:rsidRPr="004E491C">
              <w:rPr>
                <w:bCs/>
              </w:rPr>
              <w:t>0,75%</w:t>
            </w:r>
          </w:p>
        </w:tc>
        <w:tc>
          <w:tcPr>
            <w:tcW w:w="2204" w:type="dxa"/>
            <w:tcBorders>
              <w:top w:val="single" w:sz="4" w:space="0" w:color="000000"/>
              <w:bottom w:val="single" w:sz="4" w:space="0" w:color="000000"/>
              <w:right w:val="single" w:sz="8" w:space="0" w:color="000000"/>
            </w:tcBorders>
            <w:shd w:val="clear" w:color="auto" w:fill="FFFFFF"/>
            <w:vAlign w:val="bottom"/>
          </w:tcPr>
          <w:p w:rsidR="00996159" w:rsidRPr="004E491C" w:rsidRDefault="00996159" w:rsidP="00996159">
            <w:pPr>
              <w:widowControl/>
              <w:suppressAutoHyphens w:val="0"/>
              <w:spacing w:after="160" w:line="259" w:lineRule="auto"/>
              <w:jc w:val="center"/>
              <w:rPr>
                <w:bCs/>
              </w:rPr>
            </w:pPr>
            <w:r w:rsidRPr="004E491C">
              <w:rPr>
                <w:bCs/>
              </w:rPr>
              <w:t>0,00%</w:t>
            </w:r>
          </w:p>
        </w:tc>
      </w:tr>
    </w:tbl>
    <w:p w:rsidR="00996159" w:rsidRPr="004E491C" w:rsidRDefault="00996159" w:rsidP="00996159">
      <w:pPr>
        <w:widowControl/>
        <w:suppressAutoHyphens w:val="0"/>
        <w:spacing w:line="288" w:lineRule="auto"/>
        <w:rPr>
          <w:bCs/>
        </w:rPr>
      </w:pPr>
    </w:p>
    <w:p w:rsidR="00996159" w:rsidRPr="004E491C" w:rsidRDefault="00996159" w:rsidP="004E491C">
      <w:pPr>
        <w:widowControl/>
        <w:numPr>
          <w:ilvl w:val="0"/>
          <w:numId w:val="3"/>
        </w:numPr>
        <w:pBdr>
          <w:top w:val="nil"/>
          <w:left w:val="nil"/>
          <w:bottom w:val="nil"/>
          <w:right w:val="nil"/>
          <w:between w:val="nil"/>
        </w:pBdr>
        <w:suppressAutoHyphens w:val="0"/>
        <w:spacing w:after="160" w:line="360" w:lineRule="auto"/>
        <w:jc w:val="both"/>
        <w:rPr>
          <w:bCs/>
        </w:rPr>
      </w:pPr>
      <w:bookmarkStart w:id="2" w:name="_heading=h.tyjcwt" w:colFirst="0" w:colLast="0"/>
      <w:bookmarkEnd w:id="2"/>
      <w:r w:rsidRPr="004E491C">
        <w:rPr>
          <w:bCs/>
        </w:rPr>
        <w:t>Aporte personal de los empleados, obreros y demás personas que trabajan en relación de dependencia en ámbito privado y público, nacional, provincial y municipal, del seis por mil (6‰), que se aplicará sobre el monto mensual devengado que perciba por los conceptos mencionados en inciso a) o sobre el jornal de trabajo de las personas que realizan prestación en forma no permanente. Lo dispuesto en el presente inciso tendrá vigencia hasta el 01 de diciembre de 2021.</w:t>
      </w:r>
    </w:p>
    <w:p w:rsidR="00996159" w:rsidRPr="004E491C" w:rsidRDefault="00996159" w:rsidP="004E491C">
      <w:pPr>
        <w:widowControl/>
        <w:suppressAutoHyphens w:val="0"/>
        <w:spacing w:line="360" w:lineRule="auto"/>
        <w:jc w:val="both"/>
        <w:rPr>
          <w:bCs/>
        </w:rPr>
      </w:pPr>
    </w:p>
    <w:p w:rsidR="00996159" w:rsidRPr="004E491C" w:rsidRDefault="00996159" w:rsidP="004E491C">
      <w:pPr>
        <w:widowControl/>
        <w:suppressAutoHyphens w:val="0"/>
        <w:spacing w:line="360" w:lineRule="auto"/>
        <w:jc w:val="both"/>
        <w:rPr>
          <w:bCs/>
        </w:rPr>
      </w:pPr>
      <w:r w:rsidRPr="004E491C">
        <w:rPr>
          <w:bCs/>
        </w:rPr>
        <w:t xml:space="preserve">ARTÍCULO 7°: </w:t>
      </w:r>
      <w:proofErr w:type="spellStart"/>
      <w:r w:rsidRPr="004E491C">
        <w:rPr>
          <w:bCs/>
        </w:rPr>
        <w:t>Modifícase</w:t>
      </w:r>
      <w:proofErr w:type="spellEnd"/>
      <w:r w:rsidRPr="004E491C">
        <w:rPr>
          <w:bCs/>
        </w:rPr>
        <w:t xml:space="preserve"> la tabla “Automóviles, familiares, rurales, ambulancias, fúnebres, jeeps y similares de origen nacional o importados y embarcaciones afectadas a actividades deportivas o de recreación” del Artículo 29° de la Ley N° 9622 y modificatorias (T.O. 2018) por la siguiente:</w:t>
      </w:r>
    </w:p>
    <w:p w:rsidR="00996159" w:rsidRPr="004E491C" w:rsidRDefault="00996159" w:rsidP="004E491C">
      <w:pPr>
        <w:widowControl/>
        <w:suppressAutoHyphens w:val="0"/>
        <w:spacing w:line="360" w:lineRule="auto"/>
        <w:jc w:val="both"/>
        <w:rPr>
          <w:bCs/>
        </w:rPr>
      </w:pPr>
    </w:p>
    <w:p w:rsidR="00996159" w:rsidRPr="004E491C" w:rsidRDefault="00996159" w:rsidP="004E491C">
      <w:pPr>
        <w:widowControl/>
        <w:suppressAutoHyphens w:val="0"/>
        <w:spacing w:line="360" w:lineRule="auto"/>
        <w:jc w:val="both"/>
        <w:rPr>
          <w:bCs/>
        </w:rPr>
      </w:pPr>
      <w:r w:rsidRPr="004E491C">
        <w:rPr>
          <w:bCs/>
        </w:rPr>
        <w:lastRenderedPageBreak/>
        <w:t>“Automóviles, familiares, rurales, ambulancias, fúnebres, jeeps y similares de origen nacional o importados y embarcaciones afectadas a actividades deportivas o de recreación:</w:t>
      </w:r>
    </w:p>
    <w:p w:rsidR="00996159" w:rsidRPr="004E491C" w:rsidRDefault="00996159" w:rsidP="00996159">
      <w:pPr>
        <w:widowControl/>
        <w:suppressAutoHyphens w:val="0"/>
        <w:spacing w:line="259" w:lineRule="auto"/>
        <w:jc w:val="both"/>
        <w:rPr>
          <w:bCs/>
        </w:rPr>
      </w:pPr>
    </w:p>
    <w:tbl>
      <w:tblPr>
        <w:tblStyle w:val="3"/>
        <w:tblW w:w="87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
        <w:gridCol w:w="2007"/>
        <w:gridCol w:w="2147"/>
        <w:gridCol w:w="1752"/>
        <w:gridCol w:w="1784"/>
      </w:tblGrid>
      <w:tr w:rsidR="00996159" w:rsidRPr="004E491C" w:rsidTr="00996159">
        <w:trPr>
          <w:jc w:val="center"/>
        </w:trPr>
        <w:tc>
          <w:tcPr>
            <w:tcW w:w="1031" w:type="dxa"/>
            <w:shd w:val="clear" w:color="auto" w:fill="auto"/>
          </w:tcPr>
          <w:p w:rsidR="00996159" w:rsidRPr="004E491C" w:rsidRDefault="00996159" w:rsidP="00996159">
            <w:pPr>
              <w:suppressAutoHyphens w:val="0"/>
              <w:spacing w:line="288" w:lineRule="auto"/>
              <w:jc w:val="center"/>
              <w:rPr>
                <w:bCs/>
              </w:rPr>
            </w:pPr>
            <w:r w:rsidRPr="004E491C">
              <w:rPr>
                <w:bCs/>
              </w:rPr>
              <w:t>Tramo</w:t>
            </w:r>
          </w:p>
        </w:tc>
        <w:tc>
          <w:tcPr>
            <w:tcW w:w="2007" w:type="dxa"/>
            <w:shd w:val="clear" w:color="auto" w:fill="auto"/>
          </w:tcPr>
          <w:p w:rsidR="00996159" w:rsidRPr="004E491C" w:rsidRDefault="00996159" w:rsidP="00996159">
            <w:pPr>
              <w:suppressAutoHyphens w:val="0"/>
              <w:spacing w:line="288" w:lineRule="auto"/>
              <w:jc w:val="center"/>
              <w:rPr>
                <w:bCs/>
              </w:rPr>
            </w:pPr>
            <w:r w:rsidRPr="004E491C">
              <w:rPr>
                <w:bCs/>
              </w:rPr>
              <w:t>Mayor a</w:t>
            </w:r>
          </w:p>
        </w:tc>
        <w:tc>
          <w:tcPr>
            <w:tcW w:w="2147" w:type="dxa"/>
            <w:shd w:val="clear" w:color="auto" w:fill="auto"/>
          </w:tcPr>
          <w:p w:rsidR="00996159" w:rsidRPr="004E491C" w:rsidRDefault="00996159" w:rsidP="00996159">
            <w:pPr>
              <w:suppressAutoHyphens w:val="0"/>
              <w:spacing w:line="288" w:lineRule="auto"/>
              <w:jc w:val="center"/>
              <w:rPr>
                <w:bCs/>
              </w:rPr>
            </w:pPr>
            <w:r w:rsidRPr="004E491C">
              <w:rPr>
                <w:bCs/>
              </w:rPr>
              <w:t>Menor o</w:t>
            </w:r>
          </w:p>
          <w:p w:rsidR="00996159" w:rsidRPr="004E491C" w:rsidRDefault="00996159" w:rsidP="00996159">
            <w:pPr>
              <w:suppressAutoHyphens w:val="0"/>
              <w:spacing w:line="288" w:lineRule="auto"/>
              <w:jc w:val="center"/>
              <w:rPr>
                <w:bCs/>
              </w:rPr>
            </w:pPr>
            <w:r w:rsidRPr="004E491C">
              <w:rPr>
                <w:bCs/>
              </w:rPr>
              <w:t xml:space="preserve"> Igual a</w:t>
            </w:r>
          </w:p>
        </w:tc>
        <w:tc>
          <w:tcPr>
            <w:tcW w:w="1752" w:type="dxa"/>
            <w:shd w:val="clear" w:color="auto" w:fill="auto"/>
          </w:tcPr>
          <w:p w:rsidR="00996159" w:rsidRPr="004E491C" w:rsidRDefault="00996159" w:rsidP="00996159">
            <w:pPr>
              <w:suppressAutoHyphens w:val="0"/>
              <w:spacing w:line="288" w:lineRule="auto"/>
              <w:jc w:val="center"/>
              <w:rPr>
                <w:bCs/>
              </w:rPr>
            </w:pPr>
            <w:r w:rsidRPr="004E491C">
              <w:rPr>
                <w:bCs/>
              </w:rPr>
              <w:t>Cuota Fija</w:t>
            </w:r>
          </w:p>
          <w:p w:rsidR="00996159" w:rsidRPr="004E491C" w:rsidRDefault="00996159" w:rsidP="00996159">
            <w:pPr>
              <w:suppressAutoHyphens w:val="0"/>
              <w:spacing w:line="288" w:lineRule="auto"/>
              <w:jc w:val="center"/>
              <w:rPr>
                <w:bCs/>
              </w:rPr>
            </w:pPr>
            <w:r w:rsidRPr="004E491C">
              <w:rPr>
                <w:bCs/>
              </w:rPr>
              <w:t xml:space="preserve"> $</w:t>
            </w:r>
          </w:p>
        </w:tc>
        <w:tc>
          <w:tcPr>
            <w:tcW w:w="1784" w:type="dxa"/>
            <w:shd w:val="clear" w:color="auto" w:fill="auto"/>
          </w:tcPr>
          <w:p w:rsidR="00996159" w:rsidRPr="004E491C" w:rsidRDefault="00996159" w:rsidP="00996159">
            <w:pPr>
              <w:suppressAutoHyphens w:val="0"/>
              <w:spacing w:line="288" w:lineRule="auto"/>
              <w:jc w:val="center"/>
              <w:rPr>
                <w:bCs/>
              </w:rPr>
            </w:pPr>
            <w:r w:rsidRPr="004E491C">
              <w:rPr>
                <w:bCs/>
              </w:rPr>
              <w:t>Alícuota s/ Excedente</w:t>
            </w:r>
          </w:p>
        </w:tc>
      </w:tr>
      <w:tr w:rsidR="00996159" w:rsidRPr="004E491C" w:rsidTr="00996159">
        <w:trPr>
          <w:jc w:val="center"/>
        </w:trPr>
        <w:tc>
          <w:tcPr>
            <w:tcW w:w="1031" w:type="dxa"/>
            <w:shd w:val="clear" w:color="auto" w:fill="auto"/>
          </w:tcPr>
          <w:p w:rsidR="00996159" w:rsidRPr="004E491C" w:rsidRDefault="00996159" w:rsidP="00996159">
            <w:pPr>
              <w:suppressAutoHyphens w:val="0"/>
              <w:spacing w:line="288" w:lineRule="auto"/>
              <w:jc w:val="center"/>
              <w:rPr>
                <w:bCs/>
              </w:rPr>
            </w:pPr>
            <w:r w:rsidRPr="004E491C">
              <w:rPr>
                <w:bCs/>
              </w:rPr>
              <w:t>I</w:t>
            </w:r>
          </w:p>
        </w:tc>
        <w:tc>
          <w:tcPr>
            <w:tcW w:w="2007" w:type="dxa"/>
            <w:shd w:val="clear" w:color="auto" w:fill="auto"/>
          </w:tcPr>
          <w:p w:rsidR="00996159" w:rsidRPr="004E491C" w:rsidRDefault="00996159" w:rsidP="00996159">
            <w:pPr>
              <w:suppressAutoHyphens w:val="0"/>
              <w:spacing w:line="288" w:lineRule="auto"/>
              <w:jc w:val="center"/>
              <w:rPr>
                <w:bCs/>
              </w:rPr>
            </w:pPr>
          </w:p>
        </w:tc>
        <w:tc>
          <w:tcPr>
            <w:tcW w:w="2147" w:type="dxa"/>
            <w:shd w:val="clear" w:color="auto" w:fill="auto"/>
          </w:tcPr>
          <w:p w:rsidR="00996159" w:rsidRPr="004E491C" w:rsidRDefault="00996159" w:rsidP="00996159">
            <w:pPr>
              <w:suppressAutoHyphens w:val="0"/>
              <w:spacing w:line="288" w:lineRule="auto"/>
              <w:jc w:val="center"/>
              <w:rPr>
                <w:bCs/>
              </w:rPr>
            </w:pPr>
            <w:r w:rsidRPr="004E491C">
              <w:rPr>
                <w:bCs/>
              </w:rPr>
              <w:t>$     28.080,00</w:t>
            </w:r>
          </w:p>
        </w:tc>
        <w:tc>
          <w:tcPr>
            <w:tcW w:w="1752" w:type="dxa"/>
            <w:shd w:val="clear" w:color="auto" w:fill="auto"/>
          </w:tcPr>
          <w:p w:rsidR="00996159" w:rsidRPr="004E491C" w:rsidRDefault="00996159" w:rsidP="00996159">
            <w:pPr>
              <w:suppressAutoHyphens w:val="0"/>
              <w:spacing w:line="288" w:lineRule="auto"/>
              <w:jc w:val="center"/>
              <w:rPr>
                <w:bCs/>
              </w:rPr>
            </w:pPr>
            <w:r w:rsidRPr="004E491C">
              <w:rPr>
                <w:bCs/>
              </w:rPr>
              <w:t>$      561,00</w:t>
            </w:r>
          </w:p>
        </w:tc>
        <w:tc>
          <w:tcPr>
            <w:tcW w:w="1784" w:type="dxa"/>
            <w:shd w:val="clear" w:color="auto" w:fill="auto"/>
          </w:tcPr>
          <w:p w:rsidR="00996159" w:rsidRPr="004E491C" w:rsidRDefault="00996159" w:rsidP="00996159">
            <w:pPr>
              <w:suppressAutoHyphens w:val="0"/>
              <w:spacing w:line="288" w:lineRule="auto"/>
              <w:jc w:val="center"/>
              <w:rPr>
                <w:bCs/>
              </w:rPr>
            </w:pPr>
          </w:p>
        </w:tc>
      </w:tr>
      <w:tr w:rsidR="00996159" w:rsidRPr="004E491C" w:rsidTr="00996159">
        <w:trPr>
          <w:jc w:val="center"/>
        </w:trPr>
        <w:tc>
          <w:tcPr>
            <w:tcW w:w="1031" w:type="dxa"/>
            <w:shd w:val="clear" w:color="auto" w:fill="auto"/>
          </w:tcPr>
          <w:p w:rsidR="00996159" w:rsidRPr="004E491C" w:rsidRDefault="00996159" w:rsidP="00996159">
            <w:pPr>
              <w:suppressAutoHyphens w:val="0"/>
              <w:spacing w:line="288" w:lineRule="auto"/>
              <w:jc w:val="center"/>
              <w:rPr>
                <w:bCs/>
              </w:rPr>
            </w:pPr>
            <w:r w:rsidRPr="004E491C">
              <w:rPr>
                <w:bCs/>
              </w:rPr>
              <w:t>II</w:t>
            </w:r>
          </w:p>
        </w:tc>
        <w:tc>
          <w:tcPr>
            <w:tcW w:w="2007" w:type="dxa"/>
            <w:shd w:val="clear" w:color="auto" w:fill="auto"/>
          </w:tcPr>
          <w:p w:rsidR="00996159" w:rsidRPr="004E491C" w:rsidRDefault="00996159" w:rsidP="00996159">
            <w:pPr>
              <w:suppressAutoHyphens w:val="0"/>
              <w:spacing w:line="288" w:lineRule="auto"/>
              <w:jc w:val="center"/>
              <w:rPr>
                <w:bCs/>
              </w:rPr>
            </w:pPr>
            <w:r w:rsidRPr="004E491C">
              <w:rPr>
                <w:bCs/>
              </w:rPr>
              <w:t>$     28.080,00</w:t>
            </w:r>
          </w:p>
        </w:tc>
        <w:tc>
          <w:tcPr>
            <w:tcW w:w="2147" w:type="dxa"/>
            <w:shd w:val="clear" w:color="auto" w:fill="auto"/>
          </w:tcPr>
          <w:p w:rsidR="00996159" w:rsidRPr="004E491C" w:rsidRDefault="00996159" w:rsidP="00996159">
            <w:pPr>
              <w:suppressAutoHyphens w:val="0"/>
              <w:spacing w:line="288" w:lineRule="auto"/>
              <w:jc w:val="center"/>
              <w:rPr>
                <w:bCs/>
              </w:rPr>
            </w:pPr>
            <w:r w:rsidRPr="004E491C">
              <w:rPr>
                <w:bCs/>
              </w:rPr>
              <w:t>$   216.000,00</w:t>
            </w:r>
          </w:p>
        </w:tc>
        <w:tc>
          <w:tcPr>
            <w:tcW w:w="1752" w:type="dxa"/>
            <w:shd w:val="clear" w:color="auto" w:fill="auto"/>
          </w:tcPr>
          <w:p w:rsidR="00996159" w:rsidRPr="004E491C" w:rsidRDefault="00996159" w:rsidP="00996159">
            <w:pPr>
              <w:suppressAutoHyphens w:val="0"/>
              <w:spacing w:line="288" w:lineRule="auto"/>
              <w:jc w:val="center"/>
              <w:rPr>
                <w:bCs/>
              </w:rPr>
            </w:pPr>
            <w:r w:rsidRPr="004E491C">
              <w:rPr>
                <w:bCs/>
              </w:rPr>
              <w:t>$   1.533,00</w:t>
            </w:r>
          </w:p>
        </w:tc>
        <w:tc>
          <w:tcPr>
            <w:tcW w:w="1784" w:type="dxa"/>
            <w:shd w:val="clear" w:color="auto" w:fill="auto"/>
          </w:tcPr>
          <w:p w:rsidR="00996159" w:rsidRPr="004E491C" w:rsidRDefault="00996159" w:rsidP="00996159">
            <w:pPr>
              <w:suppressAutoHyphens w:val="0"/>
              <w:spacing w:line="288" w:lineRule="auto"/>
              <w:jc w:val="center"/>
              <w:rPr>
                <w:bCs/>
              </w:rPr>
            </w:pPr>
            <w:r w:rsidRPr="004E491C">
              <w:rPr>
                <w:bCs/>
              </w:rPr>
              <w:t>0,020%</w:t>
            </w:r>
          </w:p>
        </w:tc>
      </w:tr>
      <w:tr w:rsidR="00996159" w:rsidRPr="004E491C" w:rsidTr="00996159">
        <w:trPr>
          <w:jc w:val="center"/>
        </w:trPr>
        <w:tc>
          <w:tcPr>
            <w:tcW w:w="1031" w:type="dxa"/>
            <w:shd w:val="clear" w:color="auto" w:fill="auto"/>
          </w:tcPr>
          <w:p w:rsidR="00996159" w:rsidRPr="004E491C" w:rsidRDefault="00996159" w:rsidP="00996159">
            <w:pPr>
              <w:suppressAutoHyphens w:val="0"/>
              <w:spacing w:line="288" w:lineRule="auto"/>
              <w:jc w:val="center"/>
              <w:rPr>
                <w:bCs/>
              </w:rPr>
            </w:pPr>
            <w:r w:rsidRPr="004E491C">
              <w:rPr>
                <w:bCs/>
              </w:rPr>
              <w:t>III</w:t>
            </w:r>
          </w:p>
        </w:tc>
        <w:tc>
          <w:tcPr>
            <w:tcW w:w="2007" w:type="dxa"/>
            <w:shd w:val="clear" w:color="auto" w:fill="auto"/>
          </w:tcPr>
          <w:p w:rsidR="00996159" w:rsidRPr="004E491C" w:rsidRDefault="00996159" w:rsidP="00996159">
            <w:pPr>
              <w:suppressAutoHyphens w:val="0"/>
              <w:spacing w:line="288" w:lineRule="auto"/>
              <w:jc w:val="center"/>
              <w:rPr>
                <w:bCs/>
              </w:rPr>
            </w:pPr>
            <w:r w:rsidRPr="004E491C">
              <w:rPr>
                <w:bCs/>
              </w:rPr>
              <w:t>$   216.000,00</w:t>
            </w:r>
          </w:p>
        </w:tc>
        <w:tc>
          <w:tcPr>
            <w:tcW w:w="2147" w:type="dxa"/>
            <w:shd w:val="clear" w:color="auto" w:fill="auto"/>
          </w:tcPr>
          <w:p w:rsidR="00996159" w:rsidRPr="004E491C" w:rsidRDefault="00996159" w:rsidP="00996159">
            <w:pPr>
              <w:suppressAutoHyphens w:val="0"/>
              <w:spacing w:line="288" w:lineRule="auto"/>
              <w:jc w:val="center"/>
              <w:rPr>
                <w:bCs/>
              </w:rPr>
            </w:pPr>
            <w:r w:rsidRPr="004E491C">
              <w:rPr>
                <w:bCs/>
              </w:rPr>
              <w:t>$   427.680,00</w:t>
            </w:r>
          </w:p>
        </w:tc>
        <w:tc>
          <w:tcPr>
            <w:tcW w:w="1752" w:type="dxa"/>
            <w:shd w:val="clear" w:color="auto" w:fill="auto"/>
          </w:tcPr>
          <w:p w:rsidR="00996159" w:rsidRPr="004E491C" w:rsidRDefault="00996159" w:rsidP="00996159">
            <w:pPr>
              <w:suppressAutoHyphens w:val="0"/>
              <w:spacing w:line="288" w:lineRule="auto"/>
              <w:jc w:val="center"/>
              <w:rPr>
                <w:bCs/>
              </w:rPr>
            </w:pPr>
            <w:r w:rsidRPr="004E491C">
              <w:rPr>
                <w:bCs/>
              </w:rPr>
              <w:t>$   4.212,00</w:t>
            </w:r>
          </w:p>
        </w:tc>
        <w:tc>
          <w:tcPr>
            <w:tcW w:w="1784" w:type="dxa"/>
            <w:shd w:val="clear" w:color="auto" w:fill="auto"/>
          </w:tcPr>
          <w:p w:rsidR="00996159" w:rsidRPr="004E491C" w:rsidRDefault="00996159" w:rsidP="00996159">
            <w:pPr>
              <w:suppressAutoHyphens w:val="0"/>
              <w:spacing w:line="288" w:lineRule="auto"/>
              <w:jc w:val="center"/>
              <w:rPr>
                <w:bCs/>
              </w:rPr>
            </w:pPr>
            <w:r w:rsidRPr="004E491C">
              <w:rPr>
                <w:bCs/>
              </w:rPr>
              <w:t>0,023%</w:t>
            </w:r>
          </w:p>
        </w:tc>
      </w:tr>
      <w:tr w:rsidR="00996159" w:rsidRPr="004E491C" w:rsidTr="00996159">
        <w:trPr>
          <w:jc w:val="center"/>
        </w:trPr>
        <w:tc>
          <w:tcPr>
            <w:tcW w:w="1031" w:type="dxa"/>
            <w:shd w:val="clear" w:color="auto" w:fill="auto"/>
          </w:tcPr>
          <w:p w:rsidR="00996159" w:rsidRPr="004E491C" w:rsidRDefault="00996159" w:rsidP="00996159">
            <w:pPr>
              <w:suppressAutoHyphens w:val="0"/>
              <w:spacing w:line="288" w:lineRule="auto"/>
              <w:jc w:val="center"/>
              <w:rPr>
                <w:bCs/>
              </w:rPr>
            </w:pPr>
            <w:r w:rsidRPr="004E491C">
              <w:rPr>
                <w:bCs/>
              </w:rPr>
              <w:t>IV</w:t>
            </w:r>
          </w:p>
        </w:tc>
        <w:tc>
          <w:tcPr>
            <w:tcW w:w="2007" w:type="dxa"/>
            <w:shd w:val="clear" w:color="auto" w:fill="auto"/>
          </w:tcPr>
          <w:p w:rsidR="00996159" w:rsidRPr="004E491C" w:rsidRDefault="00996159" w:rsidP="00996159">
            <w:pPr>
              <w:suppressAutoHyphens w:val="0"/>
              <w:spacing w:line="288" w:lineRule="auto"/>
              <w:jc w:val="center"/>
              <w:rPr>
                <w:bCs/>
              </w:rPr>
            </w:pPr>
            <w:r w:rsidRPr="004E491C">
              <w:rPr>
                <w:bCs/>
              </w:rPr>
              <w:t>$   427.680,00</w:t>
            </w:r>
          </w:p>
        </w:tc>
        <w:tc>
          <w:tcPr>
            <w:tcW w:w="2147" w:type="dxa"/>
            <w:shd w:val="clear" w:color="auto" w:fill="auto"/>
          </w:tcPr>
          <w:p w:rsidR="00996159" w:rsidRPr="004E491C" w:rsidRDefault="00996159" w:rsidP="00996159">
            <w:pPr>
              <w:suppressAutoHyphens w:val="0"/>
              <w:spacing w:line="288" w:lineRule="auto"/>
              <w:jc w:val="center"/>
              <w:rPr>
                <w:bCs/>
              </w:rPr>
            </w:pPr>
            <w:r w:rsidRPr="004E491C">
              <w:rPr>
                <w:bCs/>
              </w:rPr>
              <w:t>$   658.800,00</w:t>
            </w:r>
          </w:p>
        </w:tc>
        <w:tc>
          <w:tcPr>
            <w:tcW w:w="1752" w:type="dxa"/>
            <w:shd w:val="clear" w:color="auto" w:fill="auto"/>
          </w:tcPr>
          <w:p w:rsidR="00996159" w:rsidRPr="004E491C" w:rsidRDefault="00996159" w:rsidP="00996159">
            <w:pPr>
              <w:suppressAutoHyphens w:val="0"/>
              <w:spacing w:line="288" w:lineRule="auto"/>
              <w:jc w:val="center"/>
              <w:rPr>
                <w:bCs/>
              </w:rPr>
            </w:pPr>
            <w:r w:rsidRPr="004E491C">
              <w:rPr>
                <w:bCs/>
              </w:rPr>
              <w:t>$   9.081,00</w:t>
            </w:r>
          </w:p>
        </w:tc>
        <w:tc>
          <w:tcPr>
            <w:tcW w:w="1784" w:type="dxa"/>
            <w:shd w:val="clear" w:color="auto" w:fill="auto"/>
          </w:tcPr>
          <w:p w:rsidR="00996159" w:rsidRPr="004E491C" w:rsidRDefault="00996159" w:rsidP="00996159">
            <w:pPr>
              <w:suppressAutoHyphens w:val="0"/>
              <w:spacing w:line="288" w:lineRule="auto"/>
              <w:jc w:val="center"/>
              <w:rPr>
                <w:bCs/>
              </w:rPr>
            </w:pPr>
            <w:r w:rsidRPr="004E491C">
              <w:rPr>
                <w:bCs/>
              </w:rPr>
              <w:t>0,026%</w:t>
            </w:r>
          </w:p>
        </w:tc>
      </w:tr>
      <w:tr w:rsidR="00996159" w:rsidRPr="004E491C" w:rsidTr="00996159">
        <w:trPr>
          <w:jc w:val="center"/>
        </w:trPr>
        <w:tc>
          <w:tcPr>
            <w:tcW w:w="1031" w:type="dxa"/>
            <w:shd w:val="clear" w:color="auto" w:fill="auto"/>
          </w:tcPr>
          <w:p w:rsidR="00996159" w:rsidRPr="004E491C" w:rsidRDefault="00996159" w:rsidP="00996159">
            <w:pPr>
              <w:suppressAutoHyphens w:val="0"/>
              <w:spacing w:line="288" w:lineRule="auto"/>
              <w:jc w:val="center"/>
              <w:rPr>
                <w:bCs/>
              </w:rPr>
            </w:pPr>
            <w:r w:rsidRPr="004E491C">
              <w:rPr>
                <w:bCs/>
              </w:rPr>
              <w:t>V</w:t>
            </w:r>
          </w:p>
        </w:tc>
        <w:tc>
          <w:tcPr>
            <w:tcW w:w="2007" w:type="dxa"/>
            <w:shd w:val="clear" w:color="auto" w:fill="auto"/>
          </w:tcPr>
          <w:p w:rsidR="00996159" w:rsidRPr="004E491C" w:rsidRDefault="00996159" w:rsidP="00996159">
            <w:pPr>
              <w:suppressAutoHyphens w:val="0"/>
              <w:spacing w:line="288" w:lineRule="auto"/>
              <w:jc w:val="center"/>
              <w:rPr>
                <w:bCs/>
              </w:rPr>
            </w:pPr>
            <w:r w:rsidRPr="004E491C">
              <w:rPr>
                <w:bCs/>
              </w:rPr>
              <w:t>$   658.800,00</w:t>
            </w:r>
          </w:p>
        </w:tc>
        <w:tc>
          <w:tcPr>
            <w:tcW w:w="2147" w:type="dxa"/>
            <w:shd w:val="clear" w:color="auto" w:fill="auto"/>
          </w:tcPr>
          <w:p w:rsidR="00996159" w:rsidRPr="004E491C" w:rsidRDefault="00996159" w:rsidP="00996159">
            <w:pPr>
              <w:suppressAutoHyphens w:val="0"/>
              <w:spacing w:line="288" w:lineRule="auto"/>
              <w:jc w:val="center"/>
              <w:rPr>
                <w:bCs/>
              </w:rPr>
            </w:pPr>
          </w:p>
        </w:tc>
        <w:tc>
          <w:tcPr>
            <w:tcW w:w="1752" w:type="dxa"/>
            <w:shd w:val="clear" w:color="auto" w:fill="auto"/>
          </w:tcPr>
          <w:p w:rsidR="00996159" w:rsidRPr="004E491C" w:rsidRDefault="00996159" w:rsidP="00996159">
            <w:pPr>
              <w:suppressAutoHyphens w:val="0"/>
              <w:spacing w:line="288" w:lineRule="auto"/>
              <w:jc w:val="center"/>
              <w:rPr>
                <w:bCs/>
              </w:rPr>
            </w:pPr>
            <w:r w:rsidRPr="004E491C">
              <w:rPr>
                <w:bCs/>
              </w:rPr>
              <w:t>$ 15.090,00</w:t>
            </w:r>
          </w:p>
        </w:tc>
        <w:tc>
          <w:tcPr>
            <w:tcW w:w="1784" w:type="dxa"/>
            <w:shd w:val="clear" w:color="auto" w:fill="auto"/>
          </w:tcPr>
          <w:p w:rsidR="00996159" w:rsidRPr="004E491C" w:rsidRDefault="00996159" w:rsidP="00996159">
            <w:pPr>
              <w:suppressAutoHyphens w:val="0"/>
              <w:spacing w:line="288" w:lineRule="auto"/>
              <w:jc w:val="center"/>
              <w:rPr>
                <w:bCs/>
              </w:rPr>
            </w:pPr>
            <w:r w:rsidRPr="004E491C">
              <w:rPr>
                <w:bCs/>
              </w:rPr>
              <w:t>0,030%</w:t>
            </w:r>
          </w:p>
        </w:tc>
      </w:tr>
    </w:tbl>
    <w:p w:rsidR="00996159" w:rsidRPr="004E491C" w:rsidRDefault="00996159" w:rsidP="00996159">
      <w:pPr>
        <w:widowControl/>
        <w:suppressAutoHyphens w:val="0"/>
        <w:spacing w:line="259" w:lineRule="auto"/>
        <w:jc w:val="both"/>
        <w:rPr>
          <w:bCs/>
        </w:rPr>
      </w:pPr>
    </w:p>
    <w:p w:rsidR="00996159" w:rsidRPr="004E491C" w:rsidRDefault="00996159" w:rsidP="00996159">
      <w:pPr>
        <w:widowControl/>
        <w:pBdr>
          <w:top w:val="nil"/>
          <w:left w:val="nil"/>
          <w:bottom w:val="nil"/>
          <w:right w:val="nil"/>
          <w:between w:val="nil"/>
        </w:pBdr>
        <w:suppressAutoHyphens w:val="0"/>
        <w:spacing w:line="259" w:lineRule="auto"/>
        <w:ind w:left="720"/>
        <w:jc w:val="both"/>
        <w:rPr>
          <w:bCs/>
        </w:rPr>
      </w:pPr>
    </w:p>
    <w:p w:rsidR="00996159" w:rsidRPr="004E491C" w:rsidRDefault="00996159" w:rsidP="004E491C">
      <w:pPr>
        <w:widowControl/>
        <w:suppressAutoHyphens w:val="0"/>
        <w:spacing w:line="360" w:lineRule="auto"/>
        <w:jc w:val="both"/>
        <w:rPr>
          <w:bCs/>
        </w:rPr>
      </w:pPr>
      <w:r w:rsidRPr="004E491C">
        <w:rPr>
          <w:bCs/>
        </w:rPr>
        <w:t xml:space="preserve">ARTICULO 8°: </w:t>
      </w:r>
      <w:proofErr w:type="spellStart"/>
      <w:r w:rsidRPr="004E491C">
        <w:rPr>
          <w:bCs/>
        </w:rPr>
        <w:t>Modifícase</w:t>
      </w:r>
      <w:proofErr w:type="spellEnd"/>
      <w:r w:rsidRPr="004E491C">
        <w:rPr>
          <w:bCs/>
        </w:rPr>
        <w:t xml:space="preserve"> la tabla “Motocicletas, motonetas, triciclos con motor y similares” del Artículo 29° de la Ley N° 9622 y modificatorias (T.O. 2018) por la siguiente:</w:t>
      </w:r>
    </w:p>
    <w:p w:rsidR="00996159" w:rsidRPr="004E491C" w:rsidRDefault="00996159" w:rsidP="004E491C">
      <w:pPr>
        <w:widowControl/>
        <w:suppressAutoHyphens w:val="0"/>
        <w:spacing w:line="360" w:lineRule="auto"/>
        <w:jc w:val="both"/>
        <w:rPr>
          <w:bCs/>
        </w:rPr>
      </w:pPr>
    </w:p>
    <w:p w:rsidR="00996159" w:rsidRPr="004E491C" w:rsidRDefault="00996159" w:rsidP="004E491C">
      <w:pPr>
        <w:widowControl/>
        <w:suppressAutoHyphens w:val="0"/>
        <w:spacing w:line="360" w:lineRule="auto"/>
        <w:jc w:val="both"/>
        <w:rPr>
          <w:bCs/>
        </w:rPr>
      </w:pPr>
      <w:r w:rsidRPr="004E491C">
        <w:rPr>
          <w:bCs/>
        </w:rPr>
        <w:t>“Motocicletas, motonetas, triciclos con motor y similares:</w:t>
      </w:r>
    </w:p>
    <w:p w:rsidR="00996159" w:rsidRPr="004E491C" w:rsidRDefault="00996159" w:rsidP="004E491C">
      <w:pPr>
        <w:widowControl/>
        <w:suppressAutoHyphens w:val="0"/>
        <w:spacing w:line="360" w:lineRule="auto"/>
        <w:jc w:val="both"/>
        <w:rPr>
          <w:bCs/>
        </w:rPr>
      </w:pPr>
    </w:p>
    <w:p w:rsidR="00996159" w:rsidRDefault="00996159" w:rsidP="004E491C">
      <w:pPr>
        <w:widowControl/>
        <w:suppressAutoHyphens w:val="0"/>
        <w:spacing w:line="360" w:lineRule="auto"/>
        <w:jc w:val="both"/>
        <w:rPr>
          <w:bCs/>
        </w:rPr>
      </w:pPr>
      <w:r w:rsidRPr="004E491C">
        <w:rPr>
          <w:bCs/>
        </w:rPr>
        <w:t xml:space="preserve"> a) Hasta 300 cc inclusive:</w:t>
      </w:r>
    </w:p>
    <w:p w:rsidR="00BA6542" w:rsidRPr="004E491C" w:rsidRDefault="00BA6542" w:rsidP="004E491C">
      <w:pPr>
        <w:widowControl/>
        <w:suppressAutoHyphens w:val="0"/>
        <w:spacing w:line="360" w:lineRule="auto"/>
        <w:jc w:val="both"/>
        <w:rPr>
          <w:bCs/>
        </w:rPr>
      </w:pPr>
    </w:p>
    <w:p w:rsidR="00996159" w:rsidRPr="004E491C" w:rsidRDefault="00996159" w:rsidP="00996159">
      <w:pPr>
        <w:widowControl/>
        <w:suppressAutoHyphens w:val="0"/>
        <w:spacing w:line="259" w:lineRule="auto"/>
        <w:ind w:left="720" w:firstLine="720"/>
        <w:jc w:val="both"/>
        <w:rPr>
          <w:bCs/>
        </w:rPr>
      </w:pPr>
    </w:p>
    <w:tbl>
      <w:tblPr>
        <w:tblStyle w:val="2"/>
        <w:tblW w:w="87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827"/>
      </w:tblGrid>
      <w:tr w:rsidR="00996159" w:rsidRPr="004E491C" w:rsidTr="00996159">
        <w:trPr>
          <w:jc w:val="center"/>
        </w:trPr>
        <w:tc>
          <w:tcPr>
            <w:tcW w:w="4961" w:type="dxa"/>
            <w:shd w:val="clear" w:color="auto" w:fill="auto"/>
          </w:tcPr>
          <w:p w:rsidR="00996159" w:rsidRPr="004E491C" w:rsidRDefault="00996159" w:rsidP="00996159">
            <w:pPr>
              <w:suppressAutoHyphens w:val="0"/>
              <w:spacing w:line="288" w:lineRule="auto"/>
              <w:jc w:val="center"/>
              <w:rPr>
                <w:bCs/>
              </w:rPr>
            </w:pPr>
            <w:r w:rsidRPr="004E491C">
              <w:rPr>
                <w:bCs/>
              </w:rPr>
              <w:t>Concepto</w:t>
            </w:r>
          </w:p>
        </w:tc>
        <w:tc>
          <w:tcPr>
            <w:tcW w:w="3827" w:type="dxa"/>
            <w:shd w:val="clear" w:color="auto" w:fill="auto"/>
          </w:tcPr>
          <w:p w:rsidR="00996159" w:rsidRPr="004E491C" w:rsidRDefault="00996159" w:rsidP="00996159">
            <w:pPr>
              <w:suppressAutoHyphens w:val="0"/>
              <w:spacing w:line="288" w:lineRule="auto"/>
              <w:jc w:val="center"/>
              <w:rPr>
                <w:bCs/>
              </w:rPr>
            </w:pPr>
            <w:r w:rsidRPr="004E491C">
              <w:rPr>
                <w:bCs/>
              </w:rPr>
              <w:t>Alícuota</w:t>
            </w:r>
          </w:p>
        </w:tc>
      </w:tr>
      <w:tr w:rsidR="00996159" w:rsidRPr="004E491C" w:rsidTr="00996159">
        <w:trPr>
          <w:jc w:val="center"/>
        </w:trPr>
        <w:tc>
          <w:tcPr>
            <w:tcW w:w="4961" w:type="dxa"/>
            <w:shd w:val="clear" w:color="auto" w:fill="auto"/>
          </w:tcPr>
          <w:p w:rsidR="00996159" w:rsidRPr="004E491C" w:rsidRDefault="00996159" w:rsidP="00996159">
            <w:pPr>
              <w:suppressAutoHyphens w:val="0"/>
              <w:spacing w:line="288" w:lineRule="auto"/>
              <w:jc w:val="center"/>
              <w:rPr>
                <w:bCs/>
              </w:rPr>
            </w:pPr>
          </w:p>
          <w:p w:rsidR="00996159" w:rsidRPr="004E491C" w:rsidRDefault="00996159" w:rsidP="00996159">
            <w:pPr>
              <w:suppressAutoHyphens w:val="0"/>
              <w:spacing w:line="288" w:lineRule="auto"/>
              <w:rPr>
                <w:bCs/>
              </w:rPr>
            </w:pPr>
            <w:r w:rsidRPr="004E491C">
              <w:rPr>
                <w:bCs/>
              </w:rPr>
              <w:t xml:space="preserve">Hasta cinco (5) años de antigüedad </w:t>
            </w:r>
          </w:p>
          <w:p w:rsidR="00996159" w:rsidRPr="004E491C" w:rsidRDefault="00996159" w:rsidP="00996159">
            <w:pPr>
              <w:suppressAutoHyphens w:val="0"/>
              <w:spacing w:line="288" w:lineRule="auto"/>
              <w:rPr>
                <w:bCs/>
              </w:rPr>
            </w:pPr>
          </w:p>
          <w:p w:rsidR="00996159" w:rsidRPr="004E491C" w:rsidRDefault="00996159" w:rsidP="00996159">
            <w:pPr>
              <w:suppressAutoHyphens w:val="0"/>
              <w:spacing w:line="288" w:lineRule="auto"/>
              <w:rPr>
                <w:bCs/>
              </w:rPr>
            </w:pPr>
            <w:r w:rsidRPr="004E491C">
              <w:rPr>
                <w:bCs/>
              </w:rPr>
              <w:t xml:space="preserve"> Mayor de cinco (5) años de antigüedad</w:t>
            </w:r>
          </w:p>
          <w:p w:rsidR="00996159" w:rsidRPr="004E491C" w:rsidRDefault="00996159" w:rsidP="00996159">
            <w:pPr>
              <w:suppressAutoHyphens w:val="0"/>
              <w:spacing w:line="288" w:lineRule="auto"/>
              <w:jc w:val="center"/>
              <w:rPr>
                <w:bCs/>
              </w:rPr>
            </w:pPr>
          </w:p>
          <w:p w:rsidR="00996159" w:rsidRPr="004E491C" w:rsidRDefault="00996159" w:rsidP="00996159">
            <w:pPr>
              <w:suppressAutoHyphens w:val="0"/>
              <w:spacing w:line="288" w:lineRule="auto"/>
              <w:rPr>
                <w:bCs/>
              </w:rPr>
            </w:pPr>
          </w:p>
        </w:tc>
        <w:tc>
          <w:tcPr>
            <w:tcW w:w="3827" w:type="dxa"/>
            <w:shd w:val="clear" w:color="auto" w:fill="auto"/>
          </w:tcPr>
          <w:p w:rsidR="00996159" w:rsidRPr="004E491C" w:rsidRDefault="00996159" w:rsidP="00996159">
            <w:pPr>
              <w:suppressAutoHyphens w:val="0"/>
              <w:spacing w:line="288" w:lineRule="auto"/>
              <w:jc w:val="center"/>
              <w:rPr>
                <w:bCs/>
              </w:rPr>
            </w:pPr>
          </w:p>
          <w:p w:rsidR="00996159" w:rsidRPr="004E491C" w:rsidRDefault="00996159" w:rsidP="00996159">
            <w:pPr>
              <w:suppressAutoHyphens w:val="0"/>
              <w:spacing w:line="288" w:lineRule="auto"/>
              <w:rPr>
                <w:bCs/>
              </w:rPr>
            </w:pPr>
            <w:r w:rsidRPr="004E491C">
              <w:rPr>
                <w:bCs/>
              </w:rPr>
              <w:t>2%</w:t>
            </w:r>
          </w:p>
          <w:p w:rsidR="00996159" w:rsidRPr="004E491C" w:rsidRDefault="00996159" w:rsidP="00996159">
            <w:pPr>
              <w:suppressAutoHyphens w:val="0"/>
              <w:spacing w:line="288" w:lineRule="auto"/>
              <w:jc w:val="center"/>
              <w:rPr>
                <w:bCs/>
              </w:rPr>
            </w:pPr>
          </w:p>
          <w:p w:rsidR="00996159" w:rsidRPr="004E491C" w:rsidRDefault="00996159" w:rsidP="00996159">
            <w:pPr>
              <w:suppressAutoHyphens w:val="0"/>
              <w:spacing w:line="288" w:lineRule="auto"/>
              <w:rPr>
                <w:bCs/>
              </w:rPr>
            </w:pPr>
            <w:r w:rsidRPr="004E491C">
              <w:rPr>
                <w:bCs/>
              </w:rPr>
              <w:t>Impuesto Mínimo</w:t>
            </w:r>
          </w:p>
        </w:tc>
      </w:tr>
    </w:tbl>
    <w:p w:rsidR="00996159" w:rsidRDefault="00996159" w:rsidP="00996159">
      <w:pPr>
        <w:widowControl/>
        <w:suppressAutoHyphens w:val="0"/>
        <w:spacing w:after="160" w:line="259" w:lineRule="auto"/>
        <w:rPr>
          <w:bCs/>
        </w:rPr>
      </w:pPr>
    </w:p>
    <w:p w:rsidR="00BA6542" w:rsidRDefault="00BA6542" w:rsidP="00996159">
      <w:pPr>
        <w:widowControl/>
        <w:suppressAutoHyphens w:val="0"/>
        <w:spacing w:after="160" w:line="259" w:lineRule="auto"/>
        <w:rPr>
          <w:bCs/>
        </w:rPr>
      </w:pPr>
    </w:p>
    <w:p w:rsidR="00BA6542" w:rsidRDefault="00BA6542" w:rsidP="00996159">
      <w:pPr>
        <w:widowControl/>
        <w:suppressAutoHyphens w:val="0"/>
        <w:spacing w:after="160" w:line="259" w:lineRule="auto"/>
        <w:rPr>
          <w:bCs/>
        </w:rPr>
      </w:pPr>
    </w:p>
    <w:p w:rsidR="00BA6542" w:rsidRPr="004E491C" w:rsidRDefault="00BA6542" w:rsidP="00996159">
      <w:pPr>
        <w:widowControl/>
        <w:suppressAutoHyphens w:val="0"/>
        <w:spacing w:after="160" w:line="259" w:lineRule="auto"/>
        <w:rPr>
          <w:bCs/>
        </w:rPr>
      </w:pPr>
    </w:p>
    <w:p w:rsidR="00996159" w:rsidRPr="004E491C" w:rsidRDefault="00996159" w:rsidP="00996159">
      <w:pPr>
        <w:widowControl/>
        <w:suppressAutoHyphens w:val="0"/>
        <w:spacing w:after="160" w:line="259" w:lineRule="auto"/>
        <w:rPr>
          <w:bCs/>
        </w:rPr>
      </w:pPr>
      <w:r w:rsidRPr="004E491C">
        <w:rPr>
          <w:bCs/>
        </w:rPr>
        <w:lastRenderedPageBreak/>
        <w:t>b) Mayor a 300 cc:</w:t>
      </w:r>
    </w:p>
    <w:tbl>
      <w:tblPr>
        <w:tblStyle w:val="1"/>
        <w:tblW w:w="87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827"/>
      </w:tblGrid>
      <w:tr w:rsidR="00996159" w:rsidRPr="004E491C" w:rsidTr="00996159">
        <w:trPr>
          <w:jc w:val="center"/>
        </w:trPr>
        <w:tc>
          <w:tcPr>
            <w:tcW w:w="4961" w:type="dxa"/>
            <w:shd w:val="clear" w:color="auto" w:fill="auto"/>
          </w:tcPr>
          <w:p w:rsidR="00996159" w:rsidRPr="004E491C" w:rsidRDefault="00996159" w:rsidP="00996159">
            <w:pPr>
              <w:suppressAutoHyphens w:val="0"/>
              <w:spacing w:line="288" w:lineRule="auto"/>
              <w:jc w:val="center"/>
              <w:rPr>
                <w:bCs/>
              </w:rPr>
            </w:pPr>
            <w:r w:rsidRPr="004E491C">
              <w:rPr>
                <w:bCs/>
              </w:rPr>
              <w:t>Concepto</w:t>
            </w:r>
          </w:p>
        </w:tc>
        <w:tc>
          <w:tcPr>
            <w:tcW w:w="3827" w:type="dxa"/>
            <w:shd w:val="clear" w:color="auto" w:fill="auto"/>
          </w:tcPr>
          <w:p w:rsidR="00996159" w:rsidRPr="004E491C" w:rsidRDefault="00996159" w:rsidP="00996159">
            <w:pPr>
              <w:suppressAutoHyphens w:val="0"/>
              <w:spacing w:line="288" w:lineRule="auto"/>
              <w:jc w:val="center"/>
              <w:rPr>
                <w:bCs/>
              </w:rPr>
            </w:pPr>
            <w:r w:rsidRPr="004E491C">
              <w:rPr>
                <w:bCs/>
              </w:rPr>
              <w:t>Alícuota</w:t>
            </w:r>
          </w:p>
        </w:tc>
      </w:tr>
      <w:tr w:rsidR="00996159" w:rsidRPr="004E491C" w:rsidTr="00996159">
        <w:trPr>
          <w:jc w:val="center"/>
        </w:trPr>
        <w:tc>
          <w:tcPr>
            <w:tcW w:w="4961" w:type="dxa"/>
            <w:shd w:val="clear" w:color="auto" w:fill="auto"/>
          </w:tcPr>
          <w:p w:rsidR="00996159" w:rsidRPr="004E491C" w:rsidRDefault="00996159" w:rsidP="00996159">
            <w:pPr>
              <w:suppressAutoHyphens w:val="0"/>
              <w:spacing w:line="288" w:lineRule="auto"/>
              <w:rPr>
                <w:bCs/>
              </w:rPr>
            </w:pPr>
          </w:p>
          <w:p w:rsidR="00996159" w:rsidRPr="004E491C" w:rsidRDefault="00996159" w:rsidP="00996159">
            <w:pPr>
              <w:suppressAutoHyphens w:val="0"/>
              <w:spacing w:line="288" w:lineRule="auto"/>
              <w:rPr>
                <w:bCs/>
              </w:rPr>
            </w:pPr>
            <w:r w:rsidRPr="004E491C">
              <w:rPr>
                <w:bCs/>
              </w:rPr>
              <w:t xml:space="preserve">Hasta cinco (5) años de antigüedad </w:t>
            </w:r>
          </w:p>
          <w:p w:rsidR="00996159" w:rsidRPr="004E491C" w:rsidRDefault="00996159" w:rsidP="00996159">
            <w:pPr>
              <w:suppressAutoHyphens w:val="0"/>
              <w:spacing w:line="288" w:lineRule="auto"/>
              <w:rPr>
                <w:bCs/>
              </w:rPr>
            </w:pPr>
          </w:p>
          <w:p w:rsidR="00996159" w:rsidRPr="004E491C" w:rsidRDefault="00996159" w:rsidP="00996159">
            <w:pPr>
              <w:suppressAutoHyphens w:val="0"/>
              <w:spacing w:line="288" w:lineRule="auto"/>
              <w:rPr>
                <w:bCs/>
              </w:rPr>
            </w:pPr>
            <w:r w:rsidRPr="004E491C">
              <w:rPr>
                <w:bCs/>
              </w:rPr>
              <w:t>Mayor de cinco (5) años de antigüedad</w:t>
            </w:r>
          </w:p>
          <w:p w:rsidR="00996159" w:rsidRPr="004E491C" w:rsidRDefault="00996159" w:rsidP="00996159">
            <w:pPr>
              <w:suppressAutoHyphens w:val="0"/>
              <w:spacing w:line="288" w:lineRule="auto"/>
              <w:rPr>
                <w:bCs/>
              </w:rPr>
            </w:pPr>
          </w:p>
          <w:p w:rsidR="00996159" w:rsidRPr="004E491C" w:rsidRDefault="00996159" w:rsidP="00996159">
            <w:pPr>
              <w:suppressAutoHyphens w:val="0"/>
              <w:spacing w:line="288" w:lineRule="auto"/>
              <w:rPr>
                <w:bCs/>
              </w:rPr>
            </w:pPr>
            <w:r w:rsidRPr="004E491C">
              <w:rPr>
                <w:bCs/>
              </w:rPr>
              <w:t>Mayor de quince (15) años de antigüedad</w:t>
            </w:r>
          </w:p>
          <w:p w:rsidR="00996159" w:rsidRPr="004E491C" w:rsidRDefault="00996159" w:rsidP="00996159">
            <w:pPr>
              <w:suppressAutoHyphens w:val="0"/>
              <w:spacing w:line="288" w:lineRule="auto"/>
              <w:rPr>
                <w:bCs/>
              </w:rPr>
            </w:pPr>
          </w:p>
        </w:tc>
        <w:tc>
          <w:tcPr>
            <w:tcW w:w="3827" w:type="dxa"/>
            <w:shd w:val="clear" w:color="auto" w:fill="auto"/>
          </w:tcPr>
          <w:p w:rsidR="00996159" w:rsidRPr="004E491C" w:rsidRDefault="00996159" w:rsidP="00996159">
            <w:pPr>
              <w:suppressAutoHyphens w:val="0"/>
              <w:spacing w:line="288" w:lineRule="auto"/>
              <w:rPr>
                <w:bCs/>
              </w:rPr>
            </w:pPr>
          </w:p>
          <w:p w:rsidR="00996159" w:rsidRPr="004E491C" w:rsidRDefault="00996159" w:rsidP="00996159">
            <w:pPr>
              <w:suppressAutoHyphens w:val="0"/>
              <w:spacing w:line="288" w:lineRule="auto"/>
              <w:rPr>
                <w:bCs/>
              </w:rPr>
            </w:pPr>
            <w:r w:rsidRPr="004E491C">
              <w:rPr>
                <w:bCs/>
              </w:rPr>
              <w:t>2%</w:t>
            </w:r>
          </w:p>
          <w:p w:rsidR="00996159" w:rsidRPr="004E491C" w:rsidRDefault="00996159" w:rsidP="00996159">
            <w:pPr>
              <w:suppressAutoHyphens w:val="0"/>
              <w:spacing w:line="288" w:lineRule="auto"/>
              <w:rPr>
                <w:bCs/>
              </w:rPr>
            </w:pPr>
          </w:p>
          <w:p w:rsidR="00996159" w:rsidRPr="004E491C" w:rsidRDefault="00996159" w:rsidP="00996159">
            <w:pPr>
              <w:suppressAutoHyphens w:val="0"/>
              <w:spacing w:line="288" w:lineRule="auto"/>
              <w:rPr>
                <w:bCs/>
              </w:rPr>
            </w:pPr>
          </w:p>
          <w:p w:rsidR="00996159" w:rsidRPr="004E491C" w:rsidRDefault="00996159" w:rsidP="00996159">
            <w:pPr>
              <w:suppressAutoHyphens w:val="0"/>
              <w:spacing w:line="288" w:lineRule="auto"/>
              <w:rPr>
                <w:bCs/>
              </w:rPr>
            </w:pPr>
            <w:r w:rsidRPr="004E491C">
              <w:rPr>
                <w:bCs/>
              </w:rPr>
              <w:t>S/Tabla</w:t>
            </w:r>
          </w:p>
          <w:p w:rsidR="00996159" w:rsidRPr="004E491C" w:rsidRDefault="00996159" w:rsidP="00996159">
            <w:pPr>
              <w:suppressAutoHyphens w:val="0"/>
              <w:spacing w:line="288" w:lineRule="auto"/>
              <w:jc w:val="center"/>
              <w:rPr>
                <w:bCs/>
              </w:rPr>
            </w:pPr>
          </w:p>
          <w:p w:rsidR="00996159" w:rsidRPr="004E491C" w:rsidRDefault="00996159" w:rsidP="00996159">
            <w:pPr>
              <w:suppressAutoHyphens w:val="0"/>
              <w:spacing w:line="288" w:lineRule="auto"/>
              <w:jc w:val="center"/>
              <w:rPr>
                <w:bCs/>
              </w:rPr>
            </w:pPr>
          </w:p>
          <w:p w:rsidR="00996159" w:rsidRPr="004E491C" w:rsidRDefault="00996159" w:rsidP="00996159">
            <w:pPr>
              <w:suppressAutoHyphens w:val="0"/>
              <w:spacing w:line="288" w:lineRule="auto"/>
              <w:rPr>
                <w:bCs/>
              </w:rPr>
            </w:pPr>
            <w:r w:rsidRPr="004E491C">
              <w:rPr>
                <w:bCs/>
              </w:rPr>
              <w:t>Impuesto Mínimo</w:t>
            </w:r>
          </w:p>
        </w:tc>
      </w:tr>
    </w:tbl>
    <w:p w:rsidR="00640F61" w:rsidRDefault="00640F61" w:rsidP="004E491C">
      <w:pPr>
        <w:widowControl/>
        <w:suppressAutoHyphens w:val="0"/>
        <w:spacing w:line="360" w:lineRule="auto"/>
        <w:jc w:val="both"/>
        <w:rPr>
          <w:bCs/>
        </w:rPr>
      </w:pPr>
    </w:p>
    <w:p w:rsidR="00640F61" w:rsidRDefault="00996159" w:rsidP="004E491C">
      <w:pPr>
        <w:widowControl/>
        <w:suppressAutoHyphens w:val="0"/>
        <w:spacing w:line="360" w:lineRule="auto"/>
        <w:jc w:val="both"/>
        <w:rPr>
          <w:bCs/>
        </w:rPr>
      </w:pPr>
      <w:r w:rsidRPr="004E491C">
        <w:rPr>
          <w:bCs/>
        </w:rPr>
        <w:t>ARTÍCULO 9°: Todo lo dispuesto en la presente Ley tendrá vigencia a partir del 1° de enero de 2021, sal</w:t>
      </w:r>
      <w:r w:rsidR="00640F61">
        <w:rPr>
          <w:bCs/>
        </w:rPr>
        <w:t>vo donde se indique otra fecha.</w:t>
      </w:r>
    </w:p>
    <w:p w:rsidR="00640F61" w:rsidRPr="004E491C" w:rsidRDefault="00640F61" w:rsidP="004E491C">
      <w:pPr>
        <w:widowControl/>
        <w:suppressAutoHyphens w:val="0"/>
        <w:spacing w:line="360" w:lineRule="auto"/>
        <w:jc w:val="both"/>
        <w:rPr>
          <w:bCs/>
        </w:rPr>
      </w:pPr>
    </w:p>
    <w:p w:rsidR="00996159" w:rsidRPr="004E491C" w:rsidRDefault="00996159" w:rsidP="004E491C">
      <w:pPr>
        <w:widowControl/>
        <w:suppressAutoHyphens w:val="0"/>
        <w:spacing w:line="360" w:lineRule="auto"/>
        <w:jc w:val="both"/>
        <w:rPr>
          <w:bCs/>
        </w:rPr>
      </w:pPr>
      <w:r w:rsidRPr="004E491C">
        <w:rPr>
          <w:bCs/>
        </w:rPr>
        <w:t xml:space="preserve">ARTICULO 10°: De forma. </w:t>
      </w:r>
    </w:p>
    <w:p w:rsidR="00004E11" w:rsidRPr="004E491C" w:rsidRDefault="00004E11" w:rsidP="004E491C">
      <w:pPr>
        <w:pStyle w:val="Prrafodelista"/>
        <w:numPr>
          <w:ilvl w:val="0"/>
          <w:numId w:val="1"/>
        </w:numPr>
        <w:spacing w:line="360" w:lineRule="auto"/>
        <w:jc w:val="both"/>
        <w:rPr>
          <w:bCs/>
        </w:rPr>
      </w:pPr>
      <w:r w:rsidRPr="004E491C">
        <w:rPr>
          <w:bCs/>
        </w:rPr>
        <w:t xml:space="preserve">                                           PARANÁ, Sala de Comisiones, </w:t>
      </w:r>
      <w:r w:rsidR="00E1755A" w:rsidRPr="004E491C">
        <w:rPr>
          <w:bCs/>
        </w:rPr>
        <w:t>14</w:t>
      </w:r>
      <w:r w:rsidR="0069505A" w:rsidRPr="004E491C">
        <w:rPr>
          <w:bCs/>
        </w:rPr>
        <w:t xml:space="preserve"> de Diciembre</w:t>
      </w:r>
      <w:r w:rsidRPr="004E491C">
        <w:rPr>
          <w:bCs/>
        </w:rPr>
        <w:t xml:space="preserve"> de 2020</w:t>
      </w:r>
    </w:p>
    <w:p w:rsidR="00004E11" w:rsidRPr="004E491C" w:rsidRDefault="00004E11" w:rsidP="004E491C">
      <w:pPr>
        <w:autoSpaceDE w:val="0"/>
        <w:spacing w:line="360" w:lineRule="auto"/>
        <w:jc w:val="both"/>
        <w:rPr>
          <w:bCs/>
        </w:rPr>
      </w:pPr>
    </w:p>
    <w:p w:rsidR="005D7B6C" w:rsidRPr="004E491C" w:rsidRDefault="00FD0D3F" w:rsidP="004E491C">
      <w:pPr>
        <w:autoSpaceDE w:val="0"/>
        <w:spacing w:line="360" w:lineRule="auto"/>
        <w:jc w:val="both"/>
        <w:rPr>
          <w:bCs/>
        </w:rPr>
      </w:pPr>
      <w:r w:rsidRPr="004E491C">
        <w:rPr>
          <w:bCs/>
        </w:rPr>
        <w:t xml:space="preserve">GENRE BERT, </w:t>
      </w:r>
      <w:proofErr w:type="spellStart"/>
      <w:r w:rsidRPr="004E491C">
        <w:rPr>
          <w:bCs/>
        </w:rPr>
        <w:t>Amilcar</w:t>
      </w:r>
      <w:proofErr w:type="spellEnd"/>
      <w:r w:rsidRPr="004E491C">
        <w:rPr>
          <w:bCs/>
        </w:rPr>
        <w:t xml:space="preserve"> René                              </w:t>
      </w:r>
      <w:r w:rsidR="00BA0BF0">
        <w:rPr>
          <w:bCs/>
        </w:rPr>
        <w:t xml:space="preserve"> </w:t>
      </w:r>
      <w:r w:rsidR="005D7B6C" w:rsidRPr="004E491C">
        <w:rPr>
          <w:bCs/>
        </w:rPr>
        <w:t>FUERTES, Adrián Federico</w:t>
      </w:r>
    </w:p>
    <w:p w:rsidR="005D7B6C" w:rsidRPr="004E491C" w:rsidRDefault="005D7B6C" w:rsidP="004E491C">
      <w:pPr>
        <w:autoSpaceDE w:val="0"/>
        <w:spacing w:line="360" w:lineRule="auto"/>
        <w:jc w:val="both"/>
        <w:rPr>
          <w:bCs/>
        </w:rPr>
      </w:pPr>
      <w:r w:rsidRPr="004E491C">
        <w:rPr>
          <w:bCs/>
        </w:rPr>
        <w:t xml:space="preserve">DAL MOLIN, Rubén Alberto </w:t>
      </w:r>
      <w:r w:rsidR="00532BCD" w:rsidRPr="004E491C">
        <w:rPr>
          <w:bCs/>
        </w:rPr>
        <w:t xml:space="preserve">                               </w:t>
      </w:r>
      <w:r w:rsidRPr="004E491C">
        <w:rPr>
          <w:bCs/>
        </w:rPr>
        <w:t>SANTA CRUZ, Mauricio Javier</w:t>
      </w:r>
    </w:p>
    <w:p w:rsidR="00FD0D3F" w:rsidRPr="004E491C" w:rsidRDefault="00532BCD" w:rsidP="004E491C">
      <w:pPr>
        <w:autoSpaceDE w:val="0"/>
        <w:spacing w:line="360" w:lineRule="auto"/>
        <w:jc w:val="both"/>
        <w:rPr>
          <w:bCs/>
        </w:rPr>
      </w:pPr>
      <w:r w:rsidRPr="004E491C">
        <w:rPr>
          <w:bCs/>
        </w:rPr>
        <w:t>MORCHIO, Francisco Alejandro                          GIECO, Claudia Ester</w:t>
      </w:r>
    </w:p>
    <w:p w:rsidR="000431F1" w:rsidRPr="004E491C" w:rsidRDefault="00532BCD" w:rsidP="004E491C">
      <w:pPr>
        <w:autoSpaceDE w:val="0"/>
        <w:spacing w:line="360" w:lineRule="auto"/>
        <w:jc w:val="both"/>
        <w:rPr>
          <w:bCs/>
        </w:rPr>
      </w:pPr>
      <w:r w:rsidRPr="004E491C">
        <w:rPr>
          <w:bCs/>
        </w:rPr>
        <w:t>BAGNAT</w:t>
      </w:r>
      <w:r w:rsidR="000431F1" w:rsidRPr="004E491C">
        <w:rPr>
          <w:bCs/>
        </w:rPr>
        <w:t>,</w:t>
      </w:r>
      <w:r w:rsidRPr="004E491C">
        <w:rPr>
          <w:bCs/>
        </w:rPr>
        <w:t xml:space="preserve"> Gastón             </w:t>
      </w:r>
      <w:r w:rsidR="000431F1" w:rsidRPr="004E491C">
        <w:rPr>
          <w:bCs/>
        </w:rPr>
        <w:t xml:space="preserve">       </w:t>
      </w:r>
      <w:r w:rsidR="00490F1A">
        <w:rPr>
          <w:bCs/>
        </w:rPr>
        <w:t xml:space="preserve">                              </w:t>
      </w:r>
      <w:r w:rsidRPr="004E491C">
        <w:rPr>
          <w:bCs/>
        </w:rPr>
        <w:t>OLANO</w:t>
      </w:r>
      <w:r w:rsidR="000431F1" w:rsidRPr="004E491C">
        <w:rPr>
          <w:bCs/>
        </w:rPr>
        <w:t xml:space="preserve">, </w:t>
      </w:r>
      <w:r w:rsidRPr="004E491C">
        <w:rPr>
          <w:bCs/>
        </w:rPr>
        <w:t>Daniel Horacio</w:t>
      </w:r>
    </w:p>
    <w:p w:rsidR="00FD0D3F" w:rsidRPr="004E491C" w:rsidRDefault="00532BCD" w:rsidP="004E491C">
      <w:pPr>
        <w:autoSpaceDE w:val="0"/>
        <w:spacing w:line="360" w:lineRule="auto"/>
        <w:jc w:val="both"/>
        <w:rPr>
          <w:bCs/>
        </w:rPr>
      </w:pPr>
      <w:r w:rsidRPr="004E491C">
        <w:rPr>
          <w:bCs/>
        </w:rPr>
        <w:t>MAIDANA</w:t>
      </w:r>
      <w:r w:rsidR="000431F1" w:rsidRPr="004E491C">
        <w:rPr>
          <w:bCs/>
        </w:rPr>
        <w:t xml:space="preserve">, </w:t>
      </w:r>
      <w:r w:rsidRPr="004E491C">
        <w:rPr>
          <w:bCs/>
        </w:rPr>
        <w:t>Flavia Gisela</w:t>
      </w:r>
      <w:r w:rsidR="00004E11" w:rsidRPr="004E491C">
        <w:rPr>
          <w:bCs/>
        </w:rPr>
        <w:tab/>
      </w:r>
      <w:r w:rsidR="00004E11" w:rsidRPr="004E491C">
        <w:rPr>
          <w:bCs/>
        </w:rPr>
        <w:tab/>
      </w:r>
      <w:r w:rsidR="00004E11" w:rsidRPr="004E491C">
        <w:rPr>
          <w:bCs/>
        </w:rPr>
        <w:tab/>
        <w:t xml:space="preserve">            </w:t>
      </w:r>
    </w:p>
    <w:p w:rsidR="00004E11" w:rsidRPr="004E491C" w:rsidRDefault="00004E11" w:rsidP="004E491C">
      <w:pPr>
        <w:autoSpaceDE w:val="0"/>
        <w:spacing w:line="360" w:lineRule="auto"/>
        <w:jc w:val="both"/>
        <w:rPr>
          <w:bCs/>
        </w:rPr>
      </w:pPr>
    </w:p>
    <w:p w:rsidR="005D059D" w:rsidRPr="004E491C" w:rsidRDefault="00004E11" w:rsidP="004E491C">
      <w:pPr>
        <w:spacing w:line="360" w:lineRule="auto"/>
        <w:jc w:val="both"/>
        <w:rPr>
          <w:bCs/>
        </w:rPr>
      </w:pPr>
      <w:r w:rsidRPr="004E491C">
        <w:rPr>
          <w:bCs/>
        </w:rPr>
        <w:t xml:space="preserve">En mi carácter de Secretario Adjunto de Comisiones de la Honorable Cámara de Senadores de la Provincia de Entre Ríos, DOY FE que el texto que antecede ha sido consensuado y aprobado en reunión de la Comisión de </w:t>
      </w:r>
      <w:r w:rsidR="00905AAD" w:rsidRPr="004E491C">
        <w:rPr>
          <w:bCs/>
        </w:rPr>
        <w:t>Presupuesto y Hacienda</w:t>
      </w:r>
      <w:r w:rsidRPr="004E491C">
        <w:rPr>
          <w:bCs/>
        </w:rPr>
        <w:t xml:space="preserve"> realizada el día </w:t>
      </w:r>
      <w:r w:rsidR="00EB51FB" w:rsidRPr="004E491C">
        <w:rPr>
          <w:bCs/>
        </w:rPr>
        <w:t>14</w:t>
      </w:r>
      <w:r w:rsidRPr="004E491C">
        <w:rPr>
          <w:bCs/>
        </w:rPr>
        <w:t xml:space="preserve"> de</w:t>
      </w:r>
      <w:r w:rsidR="0069505A" w:rsidRPr="004E491C">
        <w:rPr>
          <w:bCs/>
        </w:rPr>
        <w:t xml:space="preserve"> Diciembre</w:t>
      </w:r>
      <w:r w:rsidRPr="004E491C">
        <w:rPr>
          <w:bCs/>
        </w:rPr>
        <w:t xml:space="preserve"> de 2020, contando con el asentimiento de los Señores Senadores/as </w:t>
      </w:r>
      <w:r w:rsidR="000431F1" w:rsidRPr="004E491C">
        <w:rPr>
          <w:bCs/>
        </w:rPr>
        <w:t>GENRE BERT, SANTA</w:t>
      </w:r>
      <w:r w:rsidR="00D1670B" w:rsidRPr="004E491C">
        <w:rPr>
          <w:bCs/>
        </w:rPr>
        <w:t xml:space="preserve"> CRUZ, GIECO, </w:t>
      </w:r>
      <w:r w:rsidR="00EB51FB" w:rsidRPr="004E491C">
        <w:rPr>
          <w:bCs/>
        </w:rPr>
        <w:t xml:space="preserve">OLANO y </w:t>
      </w:r>
      <w:r w:rsidR="00D1670B" w:rsidRPr="004E491C">
        <w:rPr>
          <w:bCs/>
        </w:rPr>
        <w:t>MAIDANA.-</w:t>
      </w:r>
    </w:p>
    <w:sectPr w:rsidR="005D059D" w:rsidRPr="004E491C" w:rsidSect="00D934C0">
      <w:footerReference w:type="default" r:id="rId13"/>
      <w:pgSz w:w="11906" w:h="16838" w:code="9"/>
      <w:pgMar w:top="3119" w:right="851"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91C" w:rsidRDefault="004E491C" w:rsidP="00E1755A">
      <w:r>
        <w:separator/>
      </w:r>
    </w:p>
  </w:endnote>
  <w:endnote w:type="continuationSeparator" w:id="0">
    <w:p w:rsidR="004E491C" w:rsidRDefault="004E491C" w:rsidP="00E1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933"/>
      <w:docPartObj>
        <w:docPartGallery w:val="Page Numbers (Bottom of Page)"/>
        <w:docPartUnique/>
      </w:docPartObj>
    </w:sdtPr>
    <w:sdtEndPr/>
    <w:sdtContent>
      <w:p w:rsidR="004E491C" w:rsidRDefault="004E491C">
        <w:pPr>
          <w:pStyle w:val="Piedepgina"/>
          <w:jc w:val="right"/>
        </w:pPr>
        <w:r>
          <w:fldChar w:fldCharType="begin"/>
        </w:r>
        <w:r>
          <w:instrText>PAGE   \* MERGEFORMAT</w:instrText>
        </w:r>
        <w:r>
          <w:fldChar w:fldCharType="separate"/>
        </w:r>
        <w:r w:rsidR="00527D34">
          <w:rPr>
            <w:noProof/>
          </w:rPr>
          <w:t>19</w:t>
        </w:r>
        <w:r>
          <w:fldChar w:fldCharType="end"/>
        </w:r>
      </w:p>
    </w:sdtContent>
  </w:sdt>
  <w:p w:rsidR="004E491C" w:rsidRDefault="004E49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91C" w:rsidRDefault="004E491C" w:rsidP="00E1755A">
      <w:r>
        <w:separator/>
      </w:r>
    </w:p>
  </w:footnote>
  <w:footnote w:type="continuationSeparator" w:id="0">
    <w:p w:rsidR="004E491C" w:rsidRDefault="004E491C" w:rsidP="00E17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4E54B36"/>
    <w:multiLevelType w:val="multilevel"/>
    <w:tmpl w:val="3346775C"/>
    <w:lvl w:ilvl="0">
      <w:start w:val="1"/>
      <w:numFmt w:val="decimal"/>
      <w:lvlText w:val="(%1)"/>
      <w:lvlJc w:val="left"/>
      <w:pPr>
        <w:ind w:left="0" w:firstLine="0"/>
      </w:pPr>
    </w:lvl>
    <w:lvl w:ilvl="1">
      <w:start w:val="1"/>
      <w:numFmt w:val="lowerLetter"/>
      <w:lvlText w:val="%2)"/>
      <w:lvlJc w:val="left"/>
      <w:pPr>
        <w:ind w:left="426" w:hanging="426"/>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9786830"/>
    <w:multiLevelType w:val="multilevel"/>
    <w:tmpl w:val="9F3AEBC0"/>
    <w:lvl w:ilvl="0">
      <w:start w:val="2"/>
      <w:numFmt w:val="low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11"/>
    <w:rsid w:val="00004E11"/>
    <w:rsid w:val="000431F1"/>
    <w:rsid w:val="000B045D"/>
    <w:rsid w:val="000B2AEF"/>
    <w:rsid w:val="00195C90"/>
    <w:rsid w:val="001F07F5"/>
    <w:rsid w:val="00262144"/>
    <w:rsid w:val="00490F1A"/>
    <w:rsid w:val="004C5D0E"/>
    <w:rsid w:val="004E491C"/>
    <w:rsid w:val="004F6449"/>
    <w:rsid w:val="00527D34"/>
    <w:rsid w:val="00532BCD"/>
    <w:rsid w:val="00562F3F"/>
    <w:rsid w:val="005D059D"/>
    <w:rsid w:val="005D7B6C"/>
    <w:rsid w:val="00640F61"/>
    <w:rsid w:val="0069505A"/>
    <w:rsid w:val="006F0468"/>
    <w:rsid w:val="00730EE2"/>
    <w:rsid w:val="00761F24"/>
    <w:rsid w:val="0090325D"/>
    <w:rsid w:val="00905AAD"/>
    <w:rsid w:val="0091563B"/>
    <w:rsid w:val="00972F07"/>
    <w:rsid w:val="00996159"/>
    <w:rsid w:val="009B49B0"/>
    <w:rsid w:val="009C785F"/>
    <w:rsid w:val="00A1650C"/>
    <w:rsid w:val="00AC6BCB"/>
    <w:rsid w:val="00BA0BF0"/>
    <w:rsid w:val="00BA6542"/>
    <w:rsid w:val="00C019B1"/>
    <w:rsid w:val="00D1670B"/>
    <w:rsid w:val="00D934C0"/>
    <w:rsid w:val="00E1755A"/>
    <w:rsid w:val="00E2279A"/>
    <w:rsid w:val="00E279A2"/>
    <w:rsid w:val="00EB51FB"/>
    <w:rsid w:val="00F21C73"/>
    <w:rsid w:val="00FD0D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5901B-C066-4C01-9CC5-59013CC1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E11"/>
    <w:pPr>
      <w:widowControl w:val="0"/>
      <w:suppressAutoHyphens/>
      <w:spacing w:after="0" w:line="240" w:lineRule="auto"/>
    </w:pPr>
    <w:rPr>
      <w:rFonts w:ascii="Times New Roman" w:eastAsia="SimSun" w:hAnsi="Times New Roman" w:cs="Times New Roman"/>
      <w:kern w:val="2"/>
      <w:sz w:val="24"/>
      <w:szCs w:val="24"/>
      <w:lang w:val="es-ES" w:eastAsia="ar-SA"/>
    </w:rPr>
  </w:style>
  <w:style w:type="paragraph" w:styleId="Ttulo1">
    <w:name w:val="heading 1"/>
    <w:basedOn w:val="Normal"/>
    <w:next w:val="Normal"/>
    <w:link w:val="Ttulo1Car"/>
    <w:rsid w:val="00996159"/>
    <w:pPr>
      <w:keepNext/>
      <w:keepLines/>
      <w:widowControl/>
      <w:suppressAutoHyphens w:val="0"/>
      <w:spacing w:before="480" w:after="120" w:line="259" w:lineRule="auto"/>
      <w:outlineLvl w:val="0"/>
    </w:pPr>
    <w:rPr>
      <w:rFonts w:ascii="Calibri" w:eastAsia="Calibri" w:hAnsi="Calibri" w:cs="Calibri"/>
      <w:b/>
      <w:kern w:val="0"/>
      <w:sz w:val="48"/>
      <w:szCs w:val="48"/>
      <w:lang w:val="es-AR" w:eastAsia="es-AR"/>
    </w:rPr>
  </w:style>
  <w:style w:type="paragraph" w:styleId="Ttulo2">
    <w:name w:val="heading 2"/>
    <w:basedOn w:val="Normal"/>
    <w:next w:val="Normal"/>
    <w:link w:val="Ttulo2Car"/>
    <w:rsid w:val="00996159"/>
    <w:pPr>
      <w:keepNext/>
      <w:keepLines/>
      <w:widowControl/>
      <w:suppressAutoHyphens w:val="0"/>
      <w:spacing w:before="360" w:after="80" w:line="259" w:lineRule="auto"/>
      <w:outlineLvl w:val="1"/>
    </w:pPr>
    <w:rPr>
      <w:rFonts w:ascii="Calibri" w:eastAsia="Calibri" w:hAnsi="Calibri" w:cs="Calibri"/>
      <w:b/>
      <w:kern w:val="0"/>
      <w:sz w:val="36"/>
      <w:szCs w:val="36"/>
      <w:lang w:val="es-AR" w:eastAsia="es-AR"/>
    </w:rPr>
  </w:style>
  <w:style w:type="paragraph" w:styleId="Ttulo3">
    <w:name w:val="heading 3"/>
    <w:basedOn w:val="Normal"/>
    <w:next w:val="Normal"/>
    <w:link w:val="Ttulo3Car"/>
    <w:rsid w:val="00996159"/>
    <w:pPr>
      <w:keepNext/>
      <w:keepLines/>
      <w:widowControl/>
      <w:suppressAutoHyphens w:val="0"/>
      <w:spacing w:before="280" w:after="80" w:line="259" w:lineRule="auto"/>
      <w:outlineLvl w:val="2"/>
    </w:pPr>
    <w:rPr>
      <w:rFonts w:ascii="Calibri" w:eastAsia="Calibri" w:hAnsi="Calibri" w:cs="Calibri"/>
      <w:b/>
      <w:kern w:val="0"/>
      <w:sz w:val="28"/>
      <w:szCs w:val="28"/>
      <w:lang w:val="es-AR" w:eastAsia="es-AR"/>
    </w:rPr>
  </w:style>
  <w:style w:type="paragraph" w:styleId="Ttulo4">
    <w:name w:val="heading 4"/>
    <w:basedOn w:val="Normal"/>
    <w:next w:val="Normal"/>
    <w:link w:val="Ttulo4Car"/>
    <w:rsid w:val="00996159"/>
    <w:pPr>
      <w:keepNext/>
      <w:keepLines/>
      <w:widowControl/>
      <w:suppressAutoHyphens w:val="0"/>
      <w:spacing w:before="240" w:after="40" w:line="259" w:lineRule="auto"/>
      <w:outlineLvl w:val="3"/>
    </w:pPr>
    <w:rPr>
      <w:rFonts w:ascii="Calibri" w:eastAsia="Calibri" w:hAnsi="Calibri" w:cs="Calibri"/>
      <w:b/>
      <w:kern w:val="0"/>
      <w:lang w:val="es-AR" w:eastAsia="es-AR"/>
    </w:rPr>
  </w:style>
  <w:style w:type="paragraph" w:styleId="Ttulo5">
    <w:name w:val="heading 5"/>
    <w:basedOn w:val="Normal"/>
    <w:next w:val="Normal"/>
    <w:link w:val="Ttulo5Car"/>
    <w:rsid w:val="00996159"/>
    <w:pPr>
      <w:keepNext/>
      <w:keepLines/>
      <w:widowControl/>
      <w:suppressAutoHyphens w:val="0"/>
      <w:spacing w:before="220" w:after="40" w:line="259" w:lineRule="auto"/>
      <w:outlineLvl w:val="4"/>
    </w:pPr>
    <w:rPr>
      <w:rFonts w:ascii="Calibri" w:eastAsia="Calibri" w:hAnsi="Calibri" w:cs="Calibri"/>
      <w:b/>
      <w:kern w:val="0"/>
      <w:sz w:val="22"/>
      <w:szCs w:val="22"/>
      <w:lang w:val="es-AR" w:eastAsia="es-AR"/>
    </w:rPr>
  </w:style>
  <w:style w:type="paragraph" w:styleId="Ttulo6">
    <w:name w:val="heading 6"/>
    <w:basedOn w:val="Normal"/>
    <w:next w:val="Normal"/>
    <w:link w:val="Ttulo6Car"/>
    <w:rsid w:val="00996159"/>
    <w:pPr>
      <w:keepNext/>
      <w:keepLines/>
      <w:widowControl/>
      <w:suppressAutoHyphens w:val="0"/>
      <w:spacing w:before="200" w:after="40" w:line="259" w:lineRule="auto"/>
      <w:outlineLvl w:val="5"/>
    </w:pPr>
    <w:rPr>
      <w:rFonts w:ascii="Calibri" w:eastAsia="Calibri" w:hAnsi="Calibri" w:cs="Calibri"/>
      <w:b/>
      <w:kern w:val="0"/>
      <w:sz w:val="20"/>
      <w:szCs w:val="20"/>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E11"/>
    <w:pPr>
      <w:ind w:left="720"/>
      <w:contextualSpacing/>
    </w:pPr>
  </w:style>
  <w:style w:type="paragraph" w:styleId="Textodeglobo">
    <w:name w:val="Balloon Text"/>
    <w:basedOn w:val="Normal"/>
    <w:link w:val="TextodegloboCar"/>
    <w:uiPriority w:val="99"/>
    <w:semiHidden/>
    <w:unhideWhenUsed/>
    <w:rsid w:val="000431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1F1"/>
    <w:rPr>
      <w:rFonts w:ascii="Segoe UI" w:eastAsia="SimSun" w:hAnsi="Segoe UI" w:cs="Segoe UI"/>
      <w:kern w:val="2"/>
      <w:sz w:val="18"/>
      <w:szCs w:val="18"/>
      <w:lang w:val="es-ES" w:eastAsia="ar-SA"/>
    </w:rPr>
  </w:style>
  <w:style w:type="character" w:customStyle="1" w:styleId="Ttulo1Car">
    <w:name w:val="Título 1 Car"/>
    <w:basedOn w:val="Fuentedeprrafopredeter"/>
    <w:link w:val="Ttulo1"/>
    <w:rsid w:val="00996159"/>
    <w:rPr>
      <w:rFonts w:ascii="Calibri" w:eastAsia="Calibri" w:hAnsi="Calibri" w:cs="Calibri"/>
      <w:b/>
      <w:sz w:val="48"/>
      <w:szCs w:val="48"/>
      <w:lang w:eastAsia="es-AR"/>
    </w:rPr>
  </w:style>
  <w:style w:type="character" w:customStyle="1" w:styleId="Ttulo2Car">
    <w:name w:val="Título 2 Car"/>
    <w:basedOn w:val="Fuentedeprrafopredeter"/>
    <w:link w:val="Ttulo2"/>
    <w:rsid w:val="00996159"/>
    <w:rPr>
      <w:rFonts w:ascii="Calibri" w:eastAsia="Calibri" w:hAnsi="Calibri" w:cs="Calibri"/>
      <w:b/>
      <w:sz w:val="36"/>
      <w:szCs w:val="36"/>
      <w:lang w:eastAsia="es-AR"/>
    </w:rPr>
  </w:style>
  <w:style w:type="character" w:customStyle="1" w:styleId="Ttulo3Car">
    <w:name w:val="Título 3 Car"/>
    <w:basedOn w:val="Fuentedeprrafopredeter"/>
    <w:link w:val="Ttulo3"/>
    <w:rsid w:val="00996159"/>
    <w:rPr>
      <w:rFonts w:ascii="Calibri" w:eastAsia="Calibri" w:hAnsi="Calibri" w:cs="Calibri"/>
      <w:b/>
      <w:sz w:val="28"/>
      <w:szCs w:val="28"/>
      <w:lang w:eastAsia="es-AR"/>
    </w:rPr>
  </w:style>
  <w:style w:type="character" w:customStyle="1" w:styleId="Ttulo4Car">
    <w:name w:val="Título 4 Car"/>
    <w:basedOn w:val="Fuentedeprrafopredeter"/>
    <w:link w:val="Ttulo4"/>
    <w:rsid w:val="00996159"/>
    <w:rPr>
      <w:rFonts w:ascii="Calibri" w:eastAsia="Calibri" w:hAnsi="Calibri" w:cs="Calibri"/>
      <w:b/>
      <w:sz w:val="24"/>
      <w:szCs w:val="24"/>
      <w:lang w:eastAsia="es-AR"/>
    </w:rPr>
  </w:style>
  <w:style w:type="character" w:customStyle="1" w:styleId="Ttulo5Car">
    <w:name w:val="Título 5 Car"/>
    <w:basedOn w:val="Fuentedeprrafopredeter"/>
    <w:link w:val="Ttulo5"/>
    <w:rsid w:val="00996159"/>
    <w:rPr>
      <w:rFonts w:ascii="Calibri" w:eastAsia="Calibri" w:hAnsi="Calibri" w:cs="Calibri"/>
      <w:b/>
      <w:lang w:eastAsia="es-AR"/>
    </w:rPr>
  </w:style>
  <w:style w:type="character" w:customStyle="1" w:styleId="Ttulo6Car">
    <w:name w:val="Título 6 Car"/>
    <w:basedOn w:val="Fuentedeprrafopredeter"/>
    <w:link w:val="Ttulo6"/>
    <w:rsid w:val="00996159"/>
    <w:rPr>
      <w:rFonts w:ascii="Calibri" w:eastAsia="Calibri" w:hAnsi="Calibri" w:cs="Calibri"/>
      <w:b/>
      <w:sz w:val="20"/>
      <w:szCs w:val="20"/>
      <w:lang w:eastAsia="es-AR"/>
    </w:rPr>
  </w:style>
  <w:style w:type="numbering" w:customStyle="1" w:styleId="Sinlista1">
    <w:name w:val="Sin lista1"/>
    <w:next w:val="Sinlista"/>
    <w:uiPriority w:val="99"/>
    <w:semiHidden/>
    <w:unhideWhenUsed/>
    <w:rsid w:val="00996159"/>
  </w:style>
  <w:style w:type="table" w:customStyle="1" w:styleId="TableNormal">
    <w:name w:val="Table Normal"/>
    <w:rsid w:val="00996159"/>
    <w:rPr>
      <w:rFonts w:ascii="Calibri" w:eastAsia="Calibri" w:hAnsi="Calibri" w:cs="Calibri"/>
      <w:lang w:eastAsia="es-AR"/>
    </w:rPr>
    <w:tblPr>
      <w:tblCellMar>
        <w:top w:w="0" w:type="dxa"/>
        <w:left w:w="0" w:type="dxa"/>
        <w:bottom w:w="0" w:type="dxa"/>
        <w:right w:w="0" w:type="dxa"/>
      </w:tblCellMar>
    </w:tblPr>
  </w:style>
  <w:style w:type="paragraph" w:styleId="Puesto">
    <w:name w:val="Title"/>
    <w:basedOn w:val="Normal"/>
    <w:next w:val="Normal"/>
    <w:link w:val="PuestoCar"/>
    <w:rsid w:val="00996159"/>
    <w:pPr>
      <w:keepNext/>
      <w:keepLines/>
      <w:widowControl/>
      <w:suppressAutoHyphens w:val="0"/>
      <w:spacing w:before="480" w:after="120" w:line="259" w:lineRule="auto"/>
    </w:pPr>
    <w:rPr>
      <w:rFonts w:ascii="Calibri" w:eastAsia="Calibri" w:hAnsi="Calibri" w:cs="Calibri"/>
      <w:b/>
      <w:kern w:val="0"/>
      <w:sz w:val="72"/>
      <w:szCs w:val="72"/>
      <w:lang w:val="es-AR" w:eastAsia="es-AR"/>
    </w:rPr>
  </w:style>
  <w:style w:type="character" w:customStyle="1" w:styleId="PuestoCar">
    <w:name w:val="Puesto Car"/>
    <w:basedOn w:val="Fuentedeprrafopredeter"/>
    <w:link w:val="Puesto"/>
    <w:rsid w:val="00996159"/>
    <w:rPr>
      <w:rFonts w:ascii="Calibri" w:eastAsia="Calibri" w:hAnsi="Calibri" w:cs="Calibri"/>
      <w:b/>
      <w:sz w:val="72"/>
      <w:szCs w:val="72"/>
      <w:lang w:eastAsia="es-AR"/>
    </w:rPr>
  </w:style>
  <w:style w:type="paragraph" w:styleId="Sinespaciado">
    <w:name w:val="No Spacing"/>
    <w:uiPriority w:val="1"/>
    <w:qFormat/>
    <w:rsid w:val="00996159"/>
    <w:pPr>
      <w:spacing w:after="0" w:line="240" w:lineRule="auto"/>
    </w:pPr>
    <w:rPr>
      <w:rFonts w:ascii="Calibri" w:eastAsia="Calibri" w:hAnsi="Calibri" w:cs="Calibri"/>
      <w:lang w:eastAsia="es-AR"/>
    </w:rPr>
  </w:style>
  <w:style w:type="table" w:styleId="Tablaconcuadrcula">
    <w:name w:val="Table Grid"/>
    <w:basedOn w:val="Tablanormal"/>
    <w:uiPriority w:val="59"/>
    <w:rsid w:val="00996159"/>
    <w:pPr>
      <w:spacing w:after="0" w:line="240" w:lineRule="auto"/>
    </w:pPr>
    <w:rPr>
      <w:rFonts w:ascii="Calibri" w:eastAsia="Calibri" w:hAnsi="Calibri" w:cs="Calibri"/>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996159"/>
    <w:pPr>
      <w:spacing w:after="0" w:line="240" w:lineRule="auto"/>
    </w:pPr>
    <w:rPr>
      <w:rFonts w:ascii="Calibri" w:eastAsia="Calibri" w:hAnsi="Calibri" w:cs="Times New Roman"/>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rsid w:val="00996159"/>
    <w:pPr>
      <w:keepNext/>
      <w:keepLines/>
      <w:widowControl/>
      <w:suppressAutoHyphens w:val="0"/>
      <w:spacing w:before="360" w:after="80" w:line="259" w:lineRule="auto"/>
    </w:pPr>
    <w:rPr>
      <w:rFonts w:ascii="Georgia" w:eastAsia="Georgia" w:hAnsi="Georgia" w:cs="Georgia"/>
      <w:i/>
      <w:color w:val="666666"/>
      <w:kern w:val="0"/>
      <w:sz w:val="48"/>
      <w:szCs w:val="48"/>
      <w:lang w:val="es-AR" w:eastAsia="es-AR"/>
    </w:rPr>
  </w:style>
  <w:style w:type="character" w:customStyle="1" w:styleId="SubttuloCar">
    <w:name w:val="Subtítulo Car"/>
    <w:basedOn w:val="Fuentedeprrafopredeter"/>
    <w:link w:val="Subttulo"/>
    <w:rsid w:val="00996159"/>
    <w:rPr>
      <w:rFonts w:ascii="Georgia" w:eastAsia="Georgia" w:hAnsi="Georgia" w:cs="Georgia"/>
      <w:i/>
      <w:color w:val="666666"/>
      <w:sz w:val="48"/>
      <w:szCs w:val="48"/>
      <w:lang w:eastAsia="es-AR"/>
    </w:rPr>
  </w:style>
  <w:style w:type="table" w:customStyle="1" w:styleId="8">
    <w:name w:val="8"/>
    <w:basedOn w:val="TableNormal"/>
    <w:rsid w:val="00996159"/>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
    <w:rsid w:val="00996159"/>
    <w:tblPr>
      <w:tblStyleRowBandSize w:val="1"/>
      <w:tblStyleColBandSize w:val="1"/>
      <w:tblCellMar>
        <w:top w:w="0" w:type="dxa"/>
        <w:left w:w="70" w:type="dxa"/>
        <w:bottom w:w="0" w:type="dxa"/>
        <w:right w:w="70" w:type="dxa"/>
      </w:tblCellMar>
    </w:tblPr>
  </w:style>
  <w:style w:type="table" w:customStyle="1" w:styleId="6">
    <w:name w:val="6"/>
    <w:basedOn w:val="TableNormal"/>
    <w:rsid w:val="00996159"/>
    <w:tblPr>
      <w:tblStyleRowBandSize w:val="1"/>
      <w:tblStyleColBandSize w:val="1"/>
      <w:tblCellMar>
        <w:top w:w="0" w:type="dxa"/>
        <w:left w:w="70" w:type="dxa"/>
        <w:bottom w:w="0" w:type="dxa"/>
        <w:right w:w="70" w:type="dxa"/>
      </w:tblCellMar>
    </w:tblPr>
  </w:style>
  <w:style w:type="table" w:customStyle="1" w:styleId="5">
    <w:name w:val="5"/>
    <w:basedOn w:val="TableNormal"/>
    <w:rsid w:val="00996159"/>
    <w:tblPr>
      <w:tblStyleRowBandSize w:val="1"/>
      <w:tblStyleColBandSize w:val="1"/>
      <w:tblCellMar>
        <w:top w:w="0" w:type="dxa"/>
        <w:left w:w="70" w:type="dxa"/>
        <w:bottom w:w="0" w:type="dxa"/>
        <w:right w:w="70" w:type="dxa"/>
      </w:tblCellMar>
    </w:tblPr>
  </w:style>
  <w:style w:type="table" w:customStyle="1" w:styleId="4">
    <w:name w:val="4"/>
    <w:basedOn w:val="TableNormal"/>
    <w:rsid w:val="00996159"/>
    <w:tblPr>
      <w:tblStyleRowBandSize w:val="1"/>
      <w:tblStyleColBandSize w:val="1"/>
      <w:tblCellMar>
        <w:top w:w="0" w:type="dxa"/>
        <w:left w:w="115" w:type="dxa"/>
        <w:bottom w:w="0" w:type="dxa"/>
        <w:right w:w="115" w:type="dxa"/>
      </w:tblCellMar>
    </w:tblPr>
  </w:style>
  <w:style w:type="table" w:customStyle="1" w:styleId="3">
    <w:name w:val="3"/>
    <w:basedOn w:val="TableNormal"/>
    <w:rsid w:val="00996159"/>
    <w:tblPr>
      <w:tblStyleRowBandSize w:val="1"/>
      <w:tblStyleColBandSize w:val="1"/>
      <w:tblCellMar>
        <w:top w:w="0" w:type="dxa"/>
        <w:left w:w="115" w:type="dxa"/>
        <w:bottom w:w="0" w:type="dxa"/>
        <w:right w:w="115" w:type="dxa"/>
      </w:tblCellMar>
    </w:tblPr>
  </w:style>
  <w:style w:type="table" w:customStyle="1" w:styleId="2">
    <w:name w:val="2"/>
    <w:basedOn w:val="TableNormal"/>
    <w:rsid w:val="00996159"/>
    <w:tblPr>
      <w:tblStyleRowBandSize w:val="1"/>
      <w:tblStyleColBandSize w:val="1"/>
      <w:tblCellMar>
        <w:top w:w="0" w:type="dxa"/>
        <w:left w:w="115" w:type="dxa"/>
        <w:bottom w:w="0" w:type="dxa"/>
        <w:right w:w="115" w:type="dxa"/>
      </w:tblCellMar>
    </w:tblPr>
  </w:style>
  <w:style w:type="table" w:customStyle="1" w:styleId="1">
    <w:name w:val="1"/>
    <w:basedOn w:val="TableNormal"/>
    <w:rsid w:val="00996159"/>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E1755A"/>
    <w:pPr>
      <w:tabs>
        <w:tab w:val="center" w:pos="4252"/>
        <w:tab w:val="right" w:pos="8504"/>
      </w:tabs>
    </w:pPr>
  </w:style>
  <w:style w:type="character" w:customStyle="1" w:styleId="EncabezadoCar">
    <w:name w:val="Encabezado Car"/>
    <w:basedOn w:val="Fuentedeprrafopredeter"/>
    <w:link w:val="Encabezado"/>
    <w:uiPriority w:val="99"/>
    <w:rsid w:val="00E1755A"/>
    <w:rPr>
      <w:rFonts w:ascii="Times New Roman" w:eastAsia="SimSun" w:hAnsi="Times New Roman" w:cs="Times New Roman"/>
      <w:kern w:val="2"/>
      <w:sz w:val="24"/>
      <w:szCs w:val="24"/>
      <w:lang w:val="es-ES" w:eastAsia="ar-SA"/>
    </w:rPr>
  </w:style>
  <w:style w:type="paragraph" w:styleId="Piedepgina">
    <w:name w:val="footer"/>
    <w:basedOn w:val="Normal"/>
    <w:link w:val="PiedepginaCar"/>
    <w:uiPriority w:val="99"/>
    <w:unhideWhenUsed/>
    <w:rsid w:val="00E1755A"/>
    <w:pPr>
      <w:tabs>
        <w:tab w:val="center" w:pos="4252"/>
        <w:tab w:val="right" w:pos="8504"/>
      </w:tabs>
    </w:pPr>
  </w:style>
  <w:style w:type="character" w:customStyle="1" w:styleId="PiedepginaCar">
    <w:name w:val="Pie de página Car"/>
    <w:basedOn w:val="Fuentedeprrafopredeter"/>
    <w:link w:val="Piedepgina"/>
    <w:uiPriority w:val="99"/>
    <w:rsid w:val="00E1755A"/>
    <w:rPr>
      <w:rFonts w:ascii="Times New Roman" w:eastAsia="SimSun" w:hAnsi="Times New Roman" w:cs="Times New Roman"/>
      <w:kern w:val="2"/>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8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olgestion.errepar.com/sitios/eolgestion/Legislacion/20181211114627108.doc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olgestion.errepar.com/sitios/eolgestion/Legislacion/20181211114627108.doc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olgestion.errepar.com/sitios/eolgestion/Legislacion/20181211114627108.doc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olgestion.errepar.com/sitios/eolgestion/Legislacion/20181211114627108.docxhtml" TargetMode="External"/><Relationship Id="rId4" Type="http://schemas.openxmlformats.org/officeDocument/2006/relationships/settings" Target="settings.xml"/><Relationship Id="rId9" Type="http://schemas.openxmlformats.org/officeDocument/2006/relationships/hyperlink" Target="http://eolgestion.errepar.com/sitios/eolgestion/Legislacion/20181211114627108.docx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CC35-7C72-459D-A611-885946017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19</Pages>
  <Words>3911</Words>
  <Characters>21514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jfu</cp:lastModifiedBy>
  <cp:revision>18</cp:revision>
  <cp:lastPrinted>2020-12-15T12:27:00Z</cp:lastPrinted>
  <dcterms:created xsi:type="dcterms:W3CDTF">2020-12-04T14:07:00Z</dcterms:created>
  <dcterms:modified xsi:type="dcterms:W3CDTF">2020-12-15T14:56:00Z</dcterms:modified>
</cp:coreProperties>
</file>