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6F196" w14:textId="77777777" w:rsidR="008818FB" w:rsidRDefault="00734289" w:rsidP="005B0CFA">
      <w:pPr>
        <w:spacing w:after="0" w:line="360" w:lineRule="auto"/>
        <w:ind w:left="12" w:right="5"/>
        <w:jc w:val="center"/>
      </w:pPr>
      <w:bookmarkStart w:id="0" w:name="_GoBack"/>
      <w:bookmarkEnd w:id="0"/>
      <w:r>
        <w:rPr>
          <w:b/>
        </w:rPr>
        <w:t>LA LEGISLATURA DE LA PROVINCIA DE ENTRE RÍOS SANCIONA CON</w:t>
      </w:r>
    </w:p>
    <w:p w14:paraId="07600670" w14:textId="77777777" w:rsidR="005B0CFA" w:rsidRDefault="00734289" w:rsidP="005B0CFA">
      <w:pPr>
        <w:spacing w:after="522" w:line="360" w:lineRule="auto"/>
        <w:ind w:left="12" w:right="0"/>
        <w:jc w:val="center"/>
        <w:rPr>
          <w:b/>
        </w:rPr>
      </w:pPr>
      <w:r>
        <w:rPr>
          <w:b/>
        </w:rPr>
        <w:t>FUERZA DE</w:t>
      </w:r>
    </w:p>
    <w:p w14:paraId="44AE4644" w14:textId="72537943" w:rsidR="008818FB" w:rsidRDefault="00734289" w:rsidP="005B0CFA">
      <w:pPr>
        <w:spacing w:after="522" w:line="360" w:lineRule="auto"/>
        <w:ind w:left="12" w:right="0"/>
        <w:jc w:val="center"/>
      </w:pPr>
      <w:r>
        <w:rPr>
          <w:b/>
        </w:rPr>
        <w:t>LEY</w:t>
      </w:r>
    </w:p>
    <w:p w14:paraId="6CCA6F40" w14:textId="772C1AB1" w:rsidR="008818FB" w:rsidRDefault="00734289" w:rsidP="005B0CFA">
      <w:pPr>
        <w:spacing w:line="360" w:lineRule="auto"/>
        <w:ind w:left="-5" w:right="0"/>
      </w:pPr>
      <w:r>
        <w:rPr>
          <w:b/>
          <w:u w:val="single" w:color="000000"/>
        </w:rPr>
        <w:t>ARTÍCULO 1</w:t>
      </w:r>
      <w:r w:rsidR="000579B9">
        <w:rPr>
          <w:b/>
          <w:u w:val="single" w:color="000000"/>
        </w:rPr>
        <w:t>°:</w:t>
      </w:r>
      <w:r>
        <w:t xml:space="preserve"> Declárese </w:t>
      </w:r>
      <w:r w:rsidR="000579B9">
        <w:t>Patrimonio</w:t>
      </w:r>
      <w:r>
        <w:t xml:space="preserve"> Histórico – Cultural de la Provincia, el inmueble</w:t>
      </w:r>
      <w:r w:rsidR="005B0CFA">
        <w:t xml:space="preserve"> que fuera la Casa Parroquial y conjuntamente Escuela Alemana de los Inmigrantes del Volga,</w:t>
      </w:r>
      <w:r>
        <w:t xml:space="preserve"> que según plano de mensura N</w:t>
      </w:r>
      <w:r w:rsidR="00F96E8A">
        <w:t>° 419</w:t>
      </w:r>
      <w:r>
        <w:t xml:space="preserve">, se ubica en la </w:t>
      </w:r>
      <w:r w:rsidR="000579B9">
        <w:t>Aldea San Francisco</w:t>
      </w:r>
      <w:r>
        <w:t xml:space="preserve">, </w:t>
      </w:r>
      <w:r w:rsidR="000579B9">
        <w:t>del Departamento Diamante</w:t>
      </w:r>
      <w:r>
        <w:t>, con inscripción de dominio en fecha</w:t>
      </w:r>
      <w:r w:rsidR="00442A3B">
        <w:t xml:space="preserve"> </w:t>
      </w:r>
      <w:r w:rsidR="00F2651F">
        <w:t>1945</w:t>
      </w:r>
      <w:r>
        <w:t xml:space="preserve">; </w:t>
      </w:r>
      <w:r w:rsidR="00F2651F">
        <w:t>Tomo</w:t>
      </w:r>
      <w:r w:rsidR="00442A3B">
        <w:t xml:space="preserve"> 3</w:t>
      </w:r>
      <w:r w:rsidR="00F2651F">
        <w:t>3</w:t>
      </w:r>
      <w:r>
        <w:t>; Foli</w:t>
      </w:r>
      <w:r w:rsidR="00442A3B">
        <w:t xml:space="preserve">o </w:t>
      </w:r>
      <w:r w:rsidR="00F2651F">
        <w:t>18</w:t>
      </w:r>
      <w:r>
        <w:t xml:space="preserve">; Partida Nº </w:t>
      </w:r>
      <w:r w:rsidR="00F2651F">
        <w:t>111.490</w:t>
      </w:r>
      <w:r w:rsidR="00F826DC">
        <w:t>.</w:t>
      </w:r>
      <w:r>
        <w:t xml:space="preserve"> </w:t>
      </w:r>
    </w:p>
    <w:p w14:paraId="2D1ACE35" w14:textId="792D6C65" w:rsidR="008818FB" w:rsidRDefault="00734289" w:rsidP="005B0CFA">
      <w:pPr>
        <w:spacing w:line="360" w:lineRule="auto"/>
        <w:ind w:left="-5" w:right="0"/>
      </w:pPr>
      <w:r>
        <w:rPr>
          <w:b/>
          <w:u w:val="single" w:color="000000"/>
        </w:rPr>
        <w:t>ARTÍCULO 2</w:t>
      </w:r>
      <w:r w:rsidR="000579B9">
        <w:rPr>
          <w:b/>
          <w:u w:val="single" w:color="000000"/>
        </w:rPr>
        <w:t>°:</w:t>
      </w:r>
      <w:r>
        <w:t xml:space="preserve">  El edificio principal, sus instalaciones, fachada, inmuebles por accesión, serán considerados “Lugar Histórico Cultural” de Entre Ríos y quedarán sujetos al régimen establecido por el decreto provincial Nº 6676/03, el que regirá también lo relativo a los bienes muebles que se encuentran en el interior del </w:t>
      </w:r>
      <w:r w:rsidR="005B0CFA">
        <w:t xml:space="preserve">edificio. </w:t>
      </w:r>
    </w:p>
    <w:p w14:paraId="61E9E426" w14:textId="77777777" w:rsidR="005B0CFA" w:rsidRDefault="00734289" w:rsidP="005B0CFA">
      <w:pPr>
        <w:spacing w:line="360" w:lineRule="auto"/>
        <w:ind w:left="-5" w:right="0"/>
      </w:pPr>
      <w:r>
        <w:rPr>
          <w:b/>
          <w:u w:val="single" w:color="000000"/>
        </w:rPr>
        <w:t>ARTÍCULO 3º</w:t>
      </w:r>
      <w:proofErr w:type="gramStart"/>
      <w:r w:rsidR="000579B9">
        <w:rPr>
          <w:b/>
          <w:u w:val="single" w:color="000000"/>
        </w:rPr>
        <w:t>:</w:t>
      </w:r>
      <w:r>
        <w:rPr>
          <w:b/>
          <w:u w:val="single" w:color="000000"/>
        </w:rPr>
        <w:t xml:space="preserve"> </w:t>
      </w:r>
      <w:r>
        <w:rPr>
          <w:b/>
        </w:rPr>
        <w:t xml:space="preserve"> </w:t>
      </w:r>
      <w:r>
        <w:t>Respecto</w:t>
      </w:r>
      <w:proofErr w:type="gramEnd"/>
      <w:r>
        <w:t xml:space="preserve"> de los bienes enunciados en la presente ley</w:t>
      </w:r>
      <w:r w:rsidR="005B0CFA">
        <w:t xml:space="preserve"> quedan sujetos a las siguientes restricciones</w:t>
      </w:r>
      <w:r>
        <w:t xml:space="preserve">: </w:t>
      </w:r>
    </w:p>
    <w:p w14:paraId="5E842BB2" w14:textId="77777777" w:rsidR="005B0CFA" w:rsidRDefault="00734289" w:rsidP="005B0CFA">
      <w:pPr>
        <w:spacing w:line="360" w:lineRule="auto"/>
        <w:ind w:left="-5" w:right="0"/>
      </w:pPr>
      <w:r>
        <w:t xml:space="preserve">a) Cualquier reforma, ampliación, refacción, re funcionalización y/o intervención que sobre el bien se pretenda ejecutar, tanto en su estructura arquitectónica como morfológica, deberá contar con la previa y expresa autorización del Área de Preservación del Patrimonio Cultural y Ambiental, dependiente de la Secretaría de Gobierno y Cultura o en su caso, la entidad que la reemplace; </w:t>
      </w:r>
    </w:p>
    <w:p w14:paraId="34CD9892" w14:textId="77777777" w:rsidR="005B0CFA" w:rsidRDefault="00734289" w:rsidP="005B0CFA">
      <w:pPr>
        <w:spacing w:line="360" w:lineRule="auto"/>
        <w:ind w:left="-5" w:right="0"/>
      </w:pPr>
      <w:r>
        <w:t xml:space="preserve">b) Durante la vigencia de la declaración y afectación aludida, no podrán ser cambiados de destino, extraídos, trasladados, ni ser transferidos por cualquier título; </w:t>
      </w:r>
    </w:p>
    <w:p w14:paraId="786586B7" w14:textId="00E3BDD4" w:rsidR="008818FB" w:rsidRDefault="00734289" w:rsidP="005B0CFA">
      <w:pPr>
        <w:spacing w:line="360" w:lineRule="auto"/>
        <w:ind w:left="-5" w:right="0"/>
      </w:pPr>
      <w:r>
        <w:t xml:space="preserve">c) Toda intervención que deba efectuarse sobre ellos y que esté relacionada con las actividades enunciadas en los incisos a) y b) del presente artículo, deberá contar con el </w:t>
      </w:r>
      <w:r>
        <w:lastRenderedPageBreak/>
        <w:t xml:space="preserve">asesoramiento técnico especializado y pertinente, debiendo para ello el Estado Provincial proveer personal idóneo. </w:t>
      </w:r>
    </w:p>
    <w:p w14:paraId="69EE14E9" w14:textId="2512D73E" w:rsidR="008818FB" w:rsidRDefault="00734289" w:rsidP="005B0CFA">
      <w:pPr>
        <w:spacing w:line="360" w:lineRule="auto"/>
        <w:ind w:left="-5" w:right="0"/>
      </w:pPr>
      <w:r>
        <w:rPr>
          <w:b/>
          <w:u w:val="single" w:color="000000"/>
        </w:rPr>
        <w:t>ARTÍCULO 4°</w:t>
      </w:r>
      <w:r w:rsidR="000579B9">
        <w:rPr>
          <w:b/>
          <w:u w:val="single" w:color="000000"/>
        </w:rPr>
        <w:t>:</w:t>
      </w:r>
      <w:r>
        <w:t xml:space="preserve"> En ningún caso las medidas enunciadas en el artículo precedente afectarán el ejercicio pleno del derecho de </w:t>
      </w:r>
      <w:r w:rsidR="000579B9">
        <w:t xml:space="preserve">propiedad. </w:t>
      </w:r>
    </w:p>
    <w:p w14:paraId="6DA5275A" w14:textId="09E3BD59" w:rsidR="008818FB" w:rsidRDefault="00734289" w:rsidP="005B0CFA">
      <w:pPr>
        <w:spacing w:line="360" w:lineRule="auto"/>
        <w:ind w:left="-5" w:right="0"/>
      </w:pPr>
      <w:r>
        <w:rPr>
          <w:b/>
          <w:u w:val="single" w:color="000000"/>
        </w:rPr>
        <w:t>ARTÍCULO 5°</w:t>
      </w:r>
      <w:r w:rsidR="000579B9">
        <w:rPr>
          <w:b/>
          <w:u w:val="single" w:color="000000"/>
        </w:rPr>
        <w:t>:</w:t>
      </w:r>
      <w:r>
        <w:t xml:space="preserve"> Los recursos que demande el cumplimiento de la presente serán afectados del Presupuesto General de la Provincia, de la partida correspondiente a Ingresos Tributarios, Rentas Generales, conforme los programas y proyectos que para cada ejercicio proponga el titular del inmueble en conjunto con el Área de Preservación del Patrimonio Cultural y Ambiental</w:t>
      </w:r>
      <w:r w:rsidR="000579B9">
        <w:t xml:space="preserve"> o la autoridad que en el futuro la r</w:t>
      </w:r>
      <w:r w:rsidR="005B0CFA">
        <w:t>e</w:t>
      </w:r>
      <w:r w:rsidR="000579B9">
        <w:t xml:space="preserve">emplace. </w:t>
      </w:r>
    </w:p>
    <w:p w14:paraId="73E3996F" w14:textId="0F256187" w:rsidR="008818FB" w:rsidRDefault="00734289" w:rsidP="005B0CFA">
      <w:pPr>
        <w:spacing w:line="360" w:lineRule="auto"/>
        <w:ind w:left="-5" w:right="0"/>
      </w:pPr>
      <w:r>
        <w:rPr>
          <w:b/>
          <w:u w:val="single" w:color="000000"/>
        </w:rPr>
        <w:t>ARTÍCULO 6°</w:t>
      </w:r>
      <w:r w:rsidR="00C0709D">
        <w:rPr>
          <w:b/>
          <w:u w:val="single" w:color="000000"/>
        </w:rPr>
        <w:t>:</w:t>
      </w:r>
      <w:r>
        <w:t xml:space="preserve"> Comuníquese, etcétera.</w:t>
      </w:r>
    </w:p>
    <w:p w14:paraId="281B3BEE" w14:textId="37D6E2AB" w:rsidR="003D5426" w:rsidRDefault="003D5426" w:rsidP="005B0CFA">
      <w:pPr>
        <w:spacing w:line="360" w:lineRule="auto"/>
        <w:ind w:left="-5" w:right="0"/>
      </w:pPr>
    </w:p>
    <w:p w14:paraId="49C27F5B" w14:textId="459C999B" w:rsidR="003D5426" w:rsidRDefault="003D5426" w:rsidP="005B0CFA">
      <w:pPr>
        <w:spacing w:line="360" w:lineRule="auto"/>
        <w:ind w:left="-5" w:right="0"/>
      </w:pPr>
    </w:p>
    <w:p w14:paraId="23BD9718" w14:textId="3B5A27A5" w:rsidR="003D5426" w:rsidRDefault="003D5426" w:rsidP="005B0CFA">
      <w:pPr>
        <w:spacing w:line="360" w:lineRule="auto"/>
        <w:ind w:left="-5" w:right="0"/>
      </w:pPr>
    </w:p>
    <w:p w14:paraId="0CAFBA10" w14:textId="4C81B87A" w:rsidR="003D5426" w:rsidRDefault="003D5426" w:rsidP="005B0CFA">
      <w:pPr>
        <w:spacing w:line="360" w:lineRule="auto"/>
        <w:ind w:left="-5" w:right="0"/>
      </w:pPr>
    </w:p>
    <w:p w14:paraId="278EF0CC" w14:textId="31B878BC" w:rsidR="003D5426" w:rsidRDefault="003D5426" w:rsidP="005B0CFA">
      <w:pPr>
        <w:spacing w:line="360" w:lineRule="auto"/>
        <w:ind w:left="-5" w:right="0"/>
      </w:pPr>
    </w:p>
    <w:p w14:paraId="0CFC87BC" w14:textId="4EEFFD0E" w:rsidR="003D5426" w:rsidRDefault="003D5426" w:rsidP="005B0CFA">
      <w:pPr>
        <w:spacing w:line="360" w:lineRule="auto"/>
        <w:ind w:left="-5" w:right="0"/>
      </w:pPr>
    </w:p>
    <w:p w14:paraId="7BED7B7A" w14:textId="60A6FB44" w:rsidR="003D5426" w:rsidRDefault="003D5426" w:rsidP="005B0CFA">
      <w:pPr>
        <w:spacing w:line="360" w:lineRule="auto"/>
        <w:ind w:left="-5" w:right="0"/>
      </w:pPr>
    </w:p>
    <w:p w14:paraId="01025AF7" w14:textId="1B453445" w:rsidR="003D5426" w:rsidRDefault="003D5426" w:rsidP="005B0CFA">
      <w:pPr>
        <w:spacing w:line="360" w:lineRule="auto"/>
        <w:ind w:left="-5" w:right="0"/>
      </w:pPr>
    </w:p>
    <w:p w14:paraId="48F2ECBE" w14:textId="2A711F46" w:rsidR="003D5426" w:rsidRDefault="003D5426" w:rsidP="005B0CFA">
      <w:pPr>
        <w:spacing w:line="360" w:lineRule="auto"/>
        <w:ind w:left="-5" w:right="0"/>
      </w:pPr>
    </w:p>
    <w:p w14:paraId="50C989A2" w14:textId="5EB1F772" w:rsidR="003D5426" w:rsidRDefault="003D5426" w:rsidP="005B0CFA">
      <w:pPr>
        <w:spacing w:line="360" w:lineRule="auto"/>
        <w:ind w:left="-5" w:right="0"/>
      </w:pPr>
    </w:p>
    <w:p w14:paraId="6C6ECA52" w14:textId="715499EE" w:rsidR="003D5426" w:rsidRDefault="003D5426" w:rsidP="005B0CFA">
      <w:pPr>
        <w:spacing w:line="360" w:lineRule="auto"/>
        <w:ind w:left="-5" w:right="0"/>
      </w:pPr>
    </w:p>
    <w:p w14:paraId="55A24043" w14:textId="30551DDC" w:rsidR="003D5426" w:rsidRDefault="00DB43FA" w:rsidP="00DB43FA">
      <w:pPr>
        <w:spacing w:line="360" w:lineRule="auto"/>
        <w:ind w:left="-5" w:right="0"/>
        <w:jc w:val="center"/>
        <w:rPr>
          <w:b/>
          <w:bCs/>
        </w:rPr>
      </w:pPr>
      <w:r>
        <w:rPr>
          <w:b/>
          <w:bCs/>
        </w:rPr>
        <w:t>F U N D A M E N T O S</w:t>
      </w:r>
    </w:p>
    <w:p w14:paraId="4C67579D" w14:textId="7CC6F7FE" w:rsidR="00F55C3F" w:rsidRDefault="00F55C3F" w:rsidP="00F55C3F">
      <w:pPr>
        <w:spacing w:line="360" w:lineRule="auto"/>
        <w:ind w:firstLine="698"/>
        <w:rPr>
          <w:szCs w:val="24"/>
        </w:rPr>
      </w:pPr>
      <w:r>
        <w:rPr>
          <w:szCs w:val="24"/>
        </w:rPr>
        <w:t>A través del presente proyecto de Ley se persigue declarar Patrimonio Histórico – Cultural de la Provincia, el inmueble que fuera la Casa Parroquial y a su vez Escuela Alemana de los Inmigrantes del Volga, que se ubica en la Aldea San Francisco, correspondiente al Departamento Diamante.</w:t>
      </w:r>
    </w:p>
    <w:p w14:paraId="32F5DDBA" w14:textId="2D65CBE2" w:rsidR="00F55C3F" w:rsidRDefault="00F55C3F" w:rsidP="00F55C3F">
      <w:pPr>
        <w:spacing w:line="360" w:lineRule="auto"/>
        <w:ind w:firstLine="698"/>
        <w:rPr>
          <w:szCs w:val="24"/>
        </w:rPr>
      </w:pPr>
      <w:r>
        <w:rPr>
          <w:szCs w:val="24"/>
        </w:rPr>
        <w:t xml:space="preserve">La Aldea San Francisco es un poblado que nace como consecuencia de la llegada de los Alemanes del Volga a Entre Ríos, allá por el año 1878 donde se funda. Geográficamente esta aldea del corredor era la más desfavorecida ya que se encontraba muy lejana a la ruta, lo que acarreaba serios problemas de comunicación. Sumado a esto, la ubicación de la zona urbana se encontraba en un bajo entre dos lomadas lo que dificultaba estructuralmente sus calles y sus terrenos. </w:t>
      </w:r>
    </w:p>
    <w:p w14:paraId="38B410CB" w14:textId="1A584C8D" w:rsidR="001B6700" w:rsidRDefault="001B6700" w:rsidP="001B6700">
      <w:pPr>
        <w:spacing w:line="360" w:lineRule="auto"/>
        <w:ind w:firstLine="698"/>
        <w:rPr>
          <w:szCs w:val="24"/>
        </w:rPr>
      </w:pPr>
      <w:r>
        <w:rPr>
          <w:szCs w:val="24"/>
        </w:rPr>
        <w:t>En</w:t>
      </w:r>
      <w:r w:rsidR="001B000F">
        <w:rPr>
          <w:szCs w:val="24"/>
        </w:rPr>
        <w:t xml:space="preserve"> esta</w:t>
      </w:r>
      <w:r>
        <w:rPr>
          <w:szCs w:val="24"/>
        </w:rPr>
        <w:t xml:space="preserve"> pequeña aldea se conserva actualmente con su estructura original lo que fuera la Casa Parroquial donde no solo vivía el padre de la Iglesia, sino que contaba con oficinas donde se llevaban los registros de nacimiento, bautismo, confirmación, casamiento y de fallecimiento. En estos años la Argentina no contaba con un Registro Civil donde confeccionar los datos, por lo tanto, esto era parte de la labor de las Iglesias. Además de todo lo mencionado, en el interior del inmueble funcionaba una Escuela Alemana donde enseñaban el idioma de su vieja patria, entre otras cosas. </w:t>
      </w:r>
    </w:p>
    <w:p w14:paraId="08AEAF3A" w14:textId="7F4B753B" w:rsidR="00734289" w:rsidRDefault="001B6700" w:rsidP="001B6700">
      <w:pPr>
        <w:spacing w:line="360" w:lineRule="auto"/>
        <w:ind w:firstLine="698"/>
        <w:rPr>
          <w:szCs w:val="24"/>
        </w:rPr>
      </w:pPr>
      <w:r>
        <w:rPr>
          <w:szCs w:val="24"/>
        </w:rPr>
        <w:t xml:space="preserve">Este edificio deja de funcionar al momento de culminación de la Segunda Guerra Mundial, cuando Argentina por las razones de púbico conocimiento le declara la guerra </w:t>
      </w:r>
      <w:r w:rsidR="00734289">
        <w:rPr>
          <w:szCs w:val="24"/>
        </w:rPr>
        <w:t xml:space="preserve">a través de documentación </w:t>
      </w:r>
      <w:r>
        <w:rPr>
          <w:szCs w:val="24"/>
        </w:rPr>
        <w:t>a una Alemania ya derrotada</w:t>
      </w:r>
      <w:r w:rsidR="00734289">
        <w:rPr>
          <w:szCs w:val="24"/>
        </w:rPr>
        <w:t>.</w:t>
      </w:r>
      <w:r>
        <w:rPr>
          <w:szCs w:val="24"/>
        </w:rPr>
        <w:t xml:space="preserve"> </w:t>
      </w:r>
      <w:r w:rsidR="00734289">
        <w:rPr>
          <w:szCs w:val="24"/>
        </w:rPr>
        <w:t>Esto trajo como consecuencia que gran parte de los edificios que eran solventados con fondos del Estado Alemán, dejar</w:t>
      </w:r>
      <w:r w:rsidR="001B000F">
        <w:rPr>
          <w:szCs w:val="24"/>
        </w:rPr>
        <w:t>a</w:t>
      </w:r>
      <w:r w:rsidR="00734289">
        <w:rPr>
          <w:szCs w:val="24"/>
        </w:rPr>
        <w:t xml:space="preserve">n de percibir dichos ingresos acarreando su cierre paulatino. Hoy luego de 70 años aproximadamente encontramos un edificio en ruinas </w:t>
      </w:r>
      <w:r w:rsidR="001B000F">
        <w:rPr>
          <w:szCs w:val="24"/>
        </w:rPr>
        <w:t>pero que</w:t>
      </w:r>
      <w:r w:rsidR="00734289">
        <w:rPr>
          <w:szCs w:val="24"/>
        </w:rPr>
        <w:t xml:space="preserve"> conserva su estructura original.</w:t>
      </w:r>
    </w:p>
    <w:p w14:paraId="28582874" w14:textId="77777777" w:rsidR="00734289" w:rsidRDefault="00734289" w:rsidP="00734289">
      <w:pPr>
        <w:spacing w:line="360" w:lineRule="auto"/>
        <w:ind w:firstLine="698"/>
        <w:rPr>
          <w:szCs w:val="24"/>
        </w:rPr>
      </w:pPr>
      <w:r>
        <w:rPr>
          <w:szCs w:val="24"/>
        </w:rPr>
        <w:t>Entiendo, H. Cuerpo, que debemos fortalecer y enaltecer bienes de esta talla, brindándoles un resguardo peculiar, máxime cuando trasladan a la sociedad valores y contenidos educativos tan fructíferos. Este mandamiento se encuentra expreso en nuestra Constitución, tanto Nacional (art. 75 inc. 19 último párrafo) como Provincial (art. 26); asimismo, la referida protección legal, concuerda con los términos por los que se reconocen los derechos culturales de las personas en declaraciones y pactos internacionales, a los que el convencional constituyente de 1994 ha conferido jerarquía constitucional, equiparándolos a nuestra Carta Magna, con la consiguiente obligación de los Estados de actuar en dicha materia.</w:t>
      </w:r>
    </w:p>
    <w:p w14:paraId="5914AB54" w14:textId="08FDA769" w:rsidR="00734289" w:rsidRDefault="00734289" w:rsidP="00734289">
      <w:pPr>
        <w:spacing w:line="360" w:lineRule="auto"/>
        <w:ind w:firstLine="698"/>
        <w:rPr>
          <w:szCs w:val="24"/>
        </w:rPr>
      </w:pPr>
      <w:r>
        <w:rPr>
          <w:szCs w:val="24"/>
        </w:rPr>
        <w:t>El patrimonio arquitectónico, urbanístico e histórico, son elementos esenciales del patrimonio cultural, ya que portan valores y significados provenientes del pasado, transmisores de cambios y sucesos que experimenta la sociedad. Por ello considero que la puesta en valor de lugares históricos forma parte de una política necesaria e imprescindible para nuestro conglomerado social.</w:t>
      </w:r>
    </w:p>
    <w:p w14:paraId="29D1B178" w14:textId="7B0944F3" w:rsidR="00734289" w:rsidRDefault="00734289" w:rsidP="00734289">
      <w:pPr>
        <w:spacing w:line="360" w:lineRule="auto"/>
        <w:ind w:firstLine="698"/>
        <w:rPr>
          <w:szCs w:val="24"/>
        </w:rPr>
      </w:pPr>
      <w:r>
        <w:rPr>
          <w:szCs w:val="24"/>
        </w:rPr>
        <w:t>En base a los fundamentos aquí esbozados y a los que estoy dispuesta a verter en el momento oportuno, doy por fundada la iniciativa y hago propicio el momento para invitar a mis pares a acompañarme con su voto favorable en el presente proyecto de ley.</w:t>
      </w:r>
    </w:p>
    <w:p w14:paraId="060C1E38" w14:textId="77777777" w:rsidR="00734289" w:rsidRDefault="00734289" w:rsidP="00734289">
      <w:pPr>
        <w:spacing w:line="360" w:lineRule="auto"/>
        <w:ind w:firstLine="698"/>
        <w:rPr>
          <w:szCs w:val="24"/>
        </w:rPr>
      </w:pPr>
    </w:p>
    <w:p w14:paraId="21389521" w14:textId="2BFC49F9" w:rsidR="001B6700" w:rsidRPr="001B6700" w:rsidRDefault="00734289" w:rsidP="001B6700">
      <w:pPr>
        <w:spacing w:line="360" w:lineRule="auto"/>
        <w:ind w:firstLine="698"/>
        <w:rPr>
          <w:szCs w:val="24"/>
        </w:rPr>
      </w:pPr>
      <w:r>
        <w:rPr>
          <w:szCs w:val="24"/>
        </w:rPr>
        <w:t xml:space="preserve">  </w:t>
      </w:r>
    </w:p>
    <w:sectPr w:rsidR="001B6700" w:rsidRPr="001B6700" w:rsidSect="003D5426">
      <w:pgSz w:w="11906" w:h="16838"/>
      <w:pgMar w:top="3402" w:right="851" w:bottom="1134" w:left="226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8FB"/>
    <w:rsid w:val="000579B9"/>
    <w:rsid w:val="001B000F"/>
    <w:rsid w:val="001B6700"/>
    <w:rsid w:val="0021344F"/>
    <w:rsid w:val="003D5426"/>
    <w:rsid w:val="00442A3B"/>
    <w:rsid w:val="005B0CFA"/>
    <w:rsid w:val="0071094A"/>
    <w:rsid w:val="00734289"/>
    <w:rsid w:val="007933AD"/>
    <w:rsid w:val="008818FB"/>
    <w:rsid w:val="009C7D30"/>
    <w:rsid w:val="00C0709D"/>
    <w:rsid w:val="00DB43FA"/>
    <w:rsid w:val="00F2651F"/>
    <w:rsid w:val="00F55C3F"/>
    <w:rsid w:val="00F826DC"/>
    <w:rsid w:val="00F96E8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8FD7A"/>
  <w15:docId w15:val="{AC542C32-7B56-4851-AE1C-A89D2F2F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3" w:line="249" w:lineRule="auto"/>
      <w:ind w:left="10" w:right="4"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851</Words>
  <Characters>4684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cp:lastModifiedBy>Senado</cp:lastModifiedBy>
  <cp:revision>2</cp:revision>
  <dcterms:created xsi:type="dcterms:W3CDTF">2021-04-22T12:22:00Z</dcterms:created>
  <dcterms:modified xsi:type="dcterms:W3CDTF">2021-04-22T12:22:00Z</dcterms:modified>
</cp:coreProperties>
</file>