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55" w:rsidRPr="00B20E4F" w:rsidRDefault="0092595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49B" w:rsidRPr="00B20E4F" w:rsidRDefault="00925955" w:rsidP="009259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:rsidR="00925955" w:rsidRPr="00B20E4F" w:rsidRDefault="0092595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</w:rPr>
        <w:t>L E Y:</w:t>
      </w:r>
    </w:p>
    <w:p w:rsidR="00180C95" w:rsidRPr="00B20E4F" w:rsidRDefault="00180C95" w:rsidP="009259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955" w:rsidRPr="009D455C" w:rsidRDefault="00B20E4F" w:rsidP="009259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1º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9D455C">
        <w:rPr>
          <w:rFonts w:ascii="Times New Roman" w:hAnsi="Times New Roman" w:cs="Times New Roman"/>
          <w:b/>
          <w:bCs/>
          <w:sz w:val="24"/>
          <w:szCs w:val="24"/>
        </w:rPr>
        <w:t>Capacitación obligatoria.</w:t>
      </w:r>
      <w:r w:rsidR="00ED6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455C">
        <w:rPr>
          <w:rFonts w:ascii="Times New Roman" w:hAnsi="Times New Roman" w:cs="Times New Roman"/>
          <w:sz w:val="24"/>
          <w:szCs w:val="24"/>
        </w:rPr>
        <w:t>Establécese</w:t>
      </w:r>
      <w:proofErr w:type="spellEnd"/>
      <w:r w:rsidR="009D455C">
        <w:rPr>
          <w:rFonts w:ascii="Times New Roman" w:hAnsi="Times New Roman" w:cs="Times New Roman"/>
          <w:sz w:val="24"/>
          <w:szCs w:val="24"/>
        </w:rPr>
        <w:t xml:space="preserve"> la capacitación obligatoria en la temática de género y violencia contra las mujeres, conforme las disposiciones de la Ley Nacional N° 27.499 (Ley Micaela) y la Ley Provincial N° 10.768 (adhesión a la Ley Micaela), para la totalidad de las autoridades</w:t>
      </w:r>
      <w:r w:rsidR="00CF1A74">
        <w:rPr>
          <w:rFonts w:ascii="Times New Roman" w:hAnsi="Times New Roman" w:cs="Times New Roman"/>
          <w:sz w:val="24"/>
          <w:szCs w:val="24"/>
        </w:rPr>
        <w:t xml:space="preserve"> y</w:t>
      </w:r>
      <w:r w:rsidR="009D455C">
        <w:rPr>
          <w:rFonts w:ascii="Times New Roman" w:hAnsi="Times New Roman" w:cs="Times New Roman"/>
          <w:sz w:val="24"/>
          <w:szCs w:val="24"/>
        </w:rPr>
        <w:t xml:space="preserve"> de</w:t>
      </w:r>
      <w:r w:rsidR="002909E8">
        <w:rPr>
          <w:rFonts w:ascii="Times New Roman" w:hAnsi="Times New Roman" w:cs="Times New Roman"/>
          <w:sz w:val="24"/>
          <w:szCs w:val="24"/>
        </w:rPr>
        <w:t xml:space="preserve"> los afiliados a los partidos políticos</w:t>
      </w:r>
      <w:r w:rsidR="009D455C">
        <w:rPr>
          <w:rFonts w:ascii="Times New Roman" w:hAnsi="Times New Roman" w:cs="Times New Roman"/>
          <w:sz w:val="24"/>
          <w:szCs w:val="24"/>
        </w:rPr>
        <w:t xml:space="preserve"> e</w:t>
      </w:r>
      <w:r w:rsidR="002909E8">
        <w:rPr>
          <w:rFonts w:ascii="Times New Roman" w:hAnsi="Times New Roman" w:cs="Times New Roman"/>
          <w:sz w:val="24"/>
          <w:szCs w:val="24"/>
        </w:rPr>
        <w:t>n</w:t>
      </w:r>
      <w:r w:rsidR="00ED6379">
        <w:rPr>
          <w:rFonts w:ascii="Times New Roman" w:hAnsi="Times New Roman" w:cs="Times New Roman"/>
          <w:sz w:val="24"/>
          <w:szCs w:val="24"/>
        </w:rPr>
        <w:t xml:space="preserve"> la Provincia de Entre Ríos. </w:t>
      </w:r>
    </w:p>
    <w:p w:rsidR="00925955" w:rsidRPr="003904F8" w:rsidRDefault="00B20E4F" w:rsidP="003904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2º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9D455C">
        <w:rPr>
          <w:rFonts w:ascii="Times New Roman" w:hAnsi="Times New Roman" w:cs="Times New Roman"/>
          <w:b/>
          <w:bCs/>
          <w:sz w:val="24"/>
          <w:szCs w:val="24"/>
        </w:rPr>
        <w:t>Definición.</w:t>
      </w:r>
      <w:r w:rsidR="00ED6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1F9">
        <w:rPr>
          <w:rFonts w:ascii="Times New Roman" w:hAnsi="Times New Roman" w:cs="Times New Roman"/>
          <w:sz w:val="24"/>
          <w:szCs w:val="24"/>
        </w:rPr>
        <w:t>Entiéndase</w:t>
      </w:r>
      <w:r w:rsidR="0062470F">
        <w:rPr>
          <w:rFonts w:ascii="Times New Roman" w:hAnsi="Times New Roman" w:cs="Times New Roman"/>
          <w:sz w:val="24"/>
          <w:szCs w:val="24"/>
        </w:rPr>
        <w:t xml:space="preserve"> por Partido</w:t>
      </w:r>
      <w:r w:rsidR="005031F9">
        <w:rPr>
          <w:rFonts w:ascii="Times New Roman" w:hAnsi="Times New Roman" w:cs="Times New Roman"/>
          <w:sz w:val="24"/>
          <w:szCs w:val="24"/>
        </w:rPr>
        <w:t>s</w:t>
      </w:r>
      <w:r w:rsidR="0062470F">
        <w:rPr>
          <w:rFonts w:ascii="Times New Roman" w:hAnsi="Times New Roman" w:cs="Times New Roman"/>
          <w:sz w:val="24"/>
          <w:szCs w:val="24"/>
        </w:rPr>
        <w:t xml:space="preserve"> Político</w:t>
      </w:r>
      <w:r w:rsidR="005031F9">
        <w:rPr>
          <w:rFonts w:ascii="Times New Roman" w:hAnsi="Times New Roman" w:cs="Times New Roman"/>
          <w:sz w:val="24"/>
          <w:szCs w:val="24"/>
        </w:rPr>
        <w:t>s</w:t>
      </w:r>
      <w:r w:rsidR="0062470F">
        <w:rPr>
          <w:rFonts w:ascii="Times New Roman" w:hAnsi="Times New Roman" w:cs="Times New Roman"/>
          <w:sz w:val="24"/>
          <w:szCs w:val="24"/>
        </w:rPr>
        <w:t xml:space="preserve"> t</w:t>
      </w:r>
      <w:r w:rsidR="003904F8" w:rsidRPr="003904F8">
        <w:rPr>
          <w:rFonts w:ascii="Times New Roman" w:hAnsi="Times New Roman" w:cs="Times New Roman"/>
          <w:sz w:val="24"/>
          <w:szCs w:val="24"/>
        </w:rPr>
        <w:t xml:space="preserve">oda agrupación de ciudadanos unidos por principios comunes de bien colectivo, que tengan por objeto satisfacer el interés de la comunidad mediante su intervención en actos electorales y el ejercicio de los poderes públicos y adecuado a las </w:t>
      </w:r>
      <w:r w:rsidR="0062470F">
        <w:rPr>
          <w:rFonts w:ascii="Times New Roman" w:hAnsi="Times New Roman" w:cs="Times New Roman"/>
          <w:sz w:val="24"/>
          <w:szCs w:val="24"/>
        </w:rPr>
        <w:t>exigencias de la</w:t>
      </w:r>
      <w:r w:rsidR="003904F8">
        <w:rPr>
          <w:rFonts w:ascii="Times New Roman" w:hAnsi="Times New Roman" w:cs="Times New Roman"/>
          <w:sz w:val="24"/>
          <w:szCs w:val="24"/>
        </w:rPr>
        <w:t xml:space="preserve"> ley orgánica</w:t>
      </w:r>
      <w:r w:rsidR="003904F8" w:rsidRPr="003904F8">
        <w:rPr>
          <w:rFonts w:ascii="Times New Roman" w:hAnsi="Times New Roman" w:cs="Times New Roman"/>
          <w:sz w:val="24"/>
          <w:szCs w:val="24"/>
        </w:rPr>
        <w:t xml:space="preserve"> Nº 5170 </w:t>
      </w:r>
      <w:r w:rsidR="00E806CB">
        <w:rPr>
          <w:rFonts w:ascii="Times New Roman" w:hAnsi="Times New Roman" w:cs="Times New Roman"/>
          <w:sz w:val="24"/>
          <w:szCs w:val="24"/>
        </w:rPr>
        <w:t>y</w:t>
      </w:r>
      <w:r w:rsidR="003904F8" w:rsidRPr="003904F8">
        <w:rPr>
          <w:rFonts w:ascii="Times New Roman" w:hAnsi="Times New Roman" w:cs="Times New Roman"/>
          <w:sz w:val="24"/>
          <w:szCs w:val="24"/>
        </w:rPr>
        <w:t xml:space="preserve"> reconocido</w:t>
      </w:r>
      <w:r w:rsidR="00E806CB">
        <w:rPr>
          <w:rFonts w:ascii="Times New Roman" w:hAnsi="Times New Roman" w:cs="Times New Roman"/>
          <w:sz w:val="24"/>
          <w:szCs w:val="24"/>
        </w:rPr>
        <w:t>s</w:t>
      </w:r>
      <w:r w:rsidR="003904F8" w:rsidRPr="003904F8">
        <w:rPr>
          <w:rFonts w:ascii="Times New Roman" w:hAnsi="Times New Roman" w:cs="Times New Roman"/>
          <w:sz w:val="24"/>
          <w:szCs w:val="24"/>
        </w:rPr>
        <w:t xml:space="preserve"> por el Tribunal Electoral de la Provincia como Partido Político.</w:t>
      </w:r>
    </w:p>
    <w:p w:rsidR="00157EAE" w:rsidRPr="009D455C" w:rsidRDefault="00B20E4F" w:rsidP="00B20E4F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3º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D455C">
        <w:rPr>
          <w:rFonts w:ascii="Times New Roman" w:hAnsi="Times New Roman" w:cs="Times New Roman"/>
          <w:b/>
          <w:sz w:val="24"/>
          <w:szCs w:val="24"/>
        </w:rPr>
        <w:t xml:space="preserve"> Obligaciones.</w:t>
      </w:r>
      <w:r w:rsidR="009D455C">
        <w:rPr>
          <w:rFonts w:ascii="Times New Roman" w:hAnsi="Times New Roman" w:cs="Times New Roman"/>
          <w:bCs/>
          <w:sz w:val="24"/>
          <w:szCs w:val="24"/>
        </w:rPr>
        <w:t xml:space="preserve"> Las autoridades de las instituciones definidas en el Artículo 2°, están obligadas, y serán responsables, de garantizar la implementación de las capacitaciones, las que comenzarán a impartirse dentro del año de la entrada en vigencia de la presente ley. </w:t>
      </w:r>
    </w:p>
    <w:p w:rsidR="006C3029" w:rsidRPr="009D455C" w:rsidRDefault="00B20E4F" w:rsidP="00B20E4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ARTICULO 4º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D455C">
        <w:rPr>
          <w:rFonts w:ascii="Times New Roman" w:hAnsi="Times New Roman" w:cs="Times New Roman"/>
          <w:b/>
          <w:sz w:val="24"/>
          <w:szCs w:val="24"/>
        </w:rPr>
        <w:t xml:space="preserve"> Contenido.</w:t>
      </w:r>
      <w:r w:rsidR="009D455C">
        <w:rPr>
          <w:rFonts w:ascii="Times New Roman" w:hAnsi="Times New Roman" w:cs="Times New Roman"/>
          <w:bCs/>
          <w:sz w:val="24"/>
          <w:szCs w:val="24"/>
        </w:rPr>
        <w:t xml:space="preserve"> El modo y forma de las capacitaciones obligat</w:t>
      </w:r>
      <w:r w:rsidR="0062470F">
        <w:rPr>
          <w:rFonts w:ascii="Times New Roman" w:hAnsi="Times New Roman" w:cs="Times New Roman"/>
          <w:bCs/>
          <w:sz w:val="24"/>
          <w:szCs w:val="24"/>
        </w:rPr>
        <w:t>orias, serán establecidos por los respectivos partidos</w:t>
      </w:r>
      <w:r w:rsidR="009D455C">
        <w:rPr>
          <w:rFonts w:ascii="Times New Roman" w:hAnsi="Times New Roman" w:cs="Times New Roman"/>
          <w:bCs/>
          <w:sz w:val="24"/>
          <w:szCs w:val="24"/>
        </w:rPr>
        <w:t xml:space="preserve"> en articulación con la autoridad de aplicación de la presente Ley. Los contenidos curriculares mínimos deberán adecuarse a lo establecido en la Ley Nacional N°26.485 “Protección integral para prevenir, sancionar y erradicar la violencia contra las Mujeres”, Ley Nacional N° 27.499 y la Ley Prov</w:t>
      </w:r>
      <w:r w:rsidR="00ED6379">
        <w:rPr>
          <w:rFonts w:ascii="Times New Roman" w:hAnsi="Times New Roman" w:cs="Times New Roman"/>
          <w:bCs/>
          <w:sz w:val="24"/>
          <w:szCs w:val="24"/>
        </w:rPr>
        <w:t xml:space="preserve">incial N° 10768 “Ley Micaela”. </w:t>
      </w:r>
      <w:r w:rsidR="009D45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455C" w:rsidRPr="009D455C" w:rsidRDefault="00B12D76" w:rsidP="00B20E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</w:t>
      </w:r>
      <w:r w:rsidR="006C3029" w:rsidRPr="00B20E4F">
        <w:rPr>
          <w:rFonts w:ascii="Times New Roman" w:hAnsi="Times New Roman" w:cs="Times New Roman"/>
          <w:b/>
          <w:sz w:val="24"/>
          <w:szCs w:val="24"/>
          <w:u w:val="single"/>
        </w:rPr>
        <w:t>RTICULO 5</w:t>
      </w:r>
      <w:r w:rsidR="00B20E4F">
        <w:rPr>
          <w:rFonts w:ascii="Times New Roman" w:hAnsi="Times New Roman" w:cs="Times New Roman"/>
          <w:b/>
          <w:sz w:val="24"/>
          <w:szCs w:val="24"/>
          <w:u w:val="single"/>
        </w:rPr>
        <w:t>º</w:t>
      </w:r>
      <w:r w:rsidR="00ED637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9D455C">
        <w:rPr>
          <w:rFonts w:ascii="Times New Roman" w:hAnsi="Times New Roman" w:cs="Times New Roman"/>
          <w:b/>
          <w:bCs/>
          <w:sz w:val="24"/>
          <w:szCs w:val="24"/>
        </w:rPr>
        <w:t>Autoridad de Aplicación.</w:t>
      </w:r>
      <w:r w:rsidR="009D455C">
        <w:rPr>
          <w:rFonts w:ascii="Times New Roman" w:hAnsi="Times New Roman" w:cs="Times New Roman"/>
          <w:sz w:val="24"/>
          <w:szCs w:val="24"/>
        </w:rPr>
        <w:t xml:space="preserve"> La autoridad de aplicación de la presente ley</w:t>
      </w:r>
      <w:r w:rsidR="008E315E">
        <w:rPr>
          <w:rFonts w:ascii="Times New Roman" w:hAnsi="Times New Roman" w:cs="Times New Roman"/>
          <w:sz w:val="24"/>
          <w:szCs w:val="24"/>
        </w:rPr>
        <w:t xml:space="preserve"> será </w:t>
      </w:r>
      <w:r w:rsidR="00FA3CD1">
        <w:rPr>
          <w:rFonts w:ascii="Times New Roman" w:hAnsi="Times New Roman" w:cs="Times New Roman"/>
          <w:sz w:val="24"/>
          <w:szCs w:val="24"/>
        </w:rPr>
        <w:t xml:space="preserve">establecida por el Poder Ejecutivo Provincial en la respectiva reglamentación. </w:t>
      </w:r>
    </w:p>
    <w:p w:rsidR="00B12D76" w:rsidRDefault="006C3029" w:rsidP="00B20E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E4F">
        <w:rPr>
          <w:rFonts w:ascii="Times New Roman" w:hAnsi="Times New Roman" w:cs="Times New Roman"/>
          <w:b/>
          <w:sz w:val="24"/>
          <w:szCs w:val="24"/>
          <w:u w:val="single"/>
        </w:rPr>
        <w:t>ARTICULO 6</w:t>
      </w:r>
      <w:r w:rsidR="00B20E4F">
        <w:rPr>
          <w:rFonts w:ascii="Times New Roman" w:hAnsi="Times New Roman" w:cs="Times New Roman"/>
          <w:b/>
          <w:sz w:val="24"/>
          <w:szCs w:val="24"/>
          <w:u w:val="single"/>
        </w:rPr>
        <w:t>º:</w:t>
      </w:r>
      <w:r w:rsidR="00ED6379">
        <w:rPr>
          <w:rFonts w:ascii="Times New Roman" w:hAnsi="Times New Roman" w:cs="Times New Roman"/>
          <w:sz w:val="24"/>
          <w:szCs w:val="24"/>
        </w:rPr>
        <w:t xml:space="preserve"> </w:t>
      </w:r>
      <w:r w:rsidR="009D455C">
        <w:rPr>
          <w:rFonts w:ascii="Times New Roman" w:hAnsi="Times New Roman" w:cs="Times New Roman"/>
          <w:b/>
          <w:bCs/>
          <w:sz w:val="24"/>
          <w:szCs w:val="24"/>
        </w:rPr>
        <w:t>Deberes y atribuciones.</w:t>
      </w:r>
      <w:r w:rsidR="009D455C">
        <w:rPr>
          <w:rFonts w:ascii="Times New Roman" w:hAnsi="Times New Roman" w:cs="Times New Roman"/>
          <w:sz w:val="24"/>
          <w:szCs w:val="24"/>
        </w:rPr>
        <w:t xml:space="preserve"> La Autoridad de Aplicación tiene los siguientes deberes y atribuciones:</w:t>
      </w:r>
    </w:p>
    <w:p w:rsidR="0062470F" w:rsidRPr="006E0F96" w:rsidRDefault="009D455C" w:rsidP="0085020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Estable</w:t>
      </w:r>
      <w:r w:rsidR="006E0F96">
        <w:rPr>
          <w:rFonts w:ascii="Times New Roman" w:hAnsi="Times New Roman" w:cs="Times New Roman"/>
          <w:sz w:val="24"/>
          <w:szCs w:val="24"/>
        </w:rPr>
        <w:t>cer los ámbitos</w:t>
      </w:r>
      <w:r>
        <w:rPr>
          <w:rFonts w:ascii="Times New Roman" w:hAnsi="Times New Roman" w:cs="Times New Roman"/>
          <w:sz w:val="24"/>
          <w:szCs w:val="24"/>
        </w:rPr>
        <w:t xml:space="preserve"> modalidad y los lineamientos mínimos de los contenidos curriculares de la capacitación en la temática de género y violencia contra las mujeres dentro de los ciento veinte (120) días posteriores a la promulgación de la presente Ley;</w:t>
      </w:r>
    </w:p>
    <w:p w:rsidR="00FA77BD" w:rsidRPr="00FA77BD" w:rsidRDefault="00FA77BD" w:rsidP="00FA77B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Realizar </w:t>
      </w:r>
      <w:r w:rsidR="006E0F96" w:rsidRPr="006E0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convenios específicos de capacitación con organizaciones no gubernamentales legalmente constituidas cuyo objeto contemple la defensa de los derechos de las mujeres, Universidades Públicas con asiento en la Provincia,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Dependencias Provinciales, </w:t>
      </w:r>
      <w:r w:rsidR="006E0F96" w:rsidRPr="006E0F96">
        <w:rPr>
          <w:rFonts w:ascii="Times New Roman" w:hAnsi="Times New Roman" w:cs="Times New Roman"/>
          <w:sz w:val="24"/>
          <w:szCs w:val="24"/>
          <w:shd w:val="clear" w:color="auto" w:fill="FFFFFF"/>
        </w:rPr>
        <w:t>Municipios, Comunas, Poder Ejecutivo Nacional y todo otro ente, organización e insti</w:t>
      </w:r>
      <w:r w:rsidR="005031F9">
        <w:rPr>
          <w:rFonts w:ascii="Times New Roman" w:hAnsi="Times New Roman" w:cs="Times New Roman"/>
          <w:sz w:val="24"/>
          <w:szCs w:val="24"/>
          <w:shd w:val="clear" w:color="auto" w:fill="FFFFFF"/>
        </w:rPr>
        <w:t>tución que considere pertinente;</w:t>
      </w:r>
    </w:p>
    <w:p w:rsidR="00FA77BD" w:rsidRPr="00FA77BD" w:rsidRDefault="00FA77BD" w:rsidP="00FA77B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BD">
        <w:rPr>
          <w:rFonts w:ascii="Times New Roman" w:hAnsi="Times New Roman" w:cs="Times New Roman"/>
          <w:sz w:val="24"/>
          <w:szCs w:val="24"/>
        </w:rPr>
        <w:t>Realizar relevamientos periódicos, en la forma que ésta determine, a fin de evaluar el desarrollo de las capacitaci</w:t>
      </w:r>
      <w:r>
        <w:rPr>
          <w:rFonts w:ascii="Times New Roman" w:hAnsi="Times New Roman" w:cs="Times New Roman"/>
          <w:sz w:val="24"/>
          <w:szCs w:val="24"/>
        </w:rPr>
        <w:t>ones en los Partidos Políticos</w:t>
      </w:r>
      <w:r w:rsidRPr="00FA77BD">
        <w:rPr>
          <w:rFonts w:ascii="Times New Roman" w:hAnsi="Times New Roman" w:cs="Times New Roman"/>
          <w:sz w:val="24"/>
          <w:szCs w:val="24"/>
        </w:rPr>
        <w:t>;</w:t>
      </w:r>
    </w:p>
    <w:p w:rsidR="00FA77BD" w:rsidRPr="00FA77BD" w:rsidRDefault="00FA77BD" w:rsidP="00FA77B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BD">
        <w:rPr>
          <w:rFonts w:ascii="Times New Roman" w:hAnsi="Times New Roman" w:cs="Times New Roman"/>
          <w:sz w:val="24"/>
          <w:szCs w:val="24"/>
        </w:rPr>
        <w:t xml:space="preserve">Elaborar un informe de evaluación anual acerca del grado de cumplimiento de las capacitaciones; </w:t>
      </w:r>
    </w:p>
    <w:p w:rsidR="00FA77BD" w:rsidRPr="00FA77BD" w:rsidRDefault="00FA77BD" w:rsidP="00FA77B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BD">
        <w:rPr>
          <w:rFonts w:ascii="Times New Roman" w:hAnsi="Times New Roman" w:cs="Times New Roman"/>
          <w:sz w:val="24"/>
          <w:szCs w:val="24"/>
        </w:rPr>
        <w:t xml:space="preserve">Todo otro aspecto que contribuya a dar cumplimiento con el objeto de la presente </w:t>
      </w:r>
      <w:r w:rsidR="005031F9">
        <w:rPr>
          <w:rFonts w:ascii="Times New Roman" w:hAnsi="Times New Roman" w:cs="Times New Roman"/>
          <w:sz w:val="24"/>
          <w:szCs w:val="24"/>
        </w:rPr>
        <w:t xml:space="preserve">Ley. </w:t>
      </w:r>
    </w:p>
    <w:p w:rsidR="00FA77BD" w:rsidRPr="006E0F96" w:rsidRDefault="00FA77BD" w:rsidP="00FA77BD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335F" w:rsidRPr="00FA77BD" w:rsidRDefault="00E1335F" w:rsidP="00FA77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7BD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7°</w:t>
      </w:r>
      <w:r w:rsidR="00ED637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7BD">
        <w:rPr>
          <w:rFonts w:ascii="Times New Roman" w:hAnsi="Times New Roman" w:cs="Times New Roman"/>
          <w:b/>
          <w:bCs/>
          <w:sz w:val="24"/>
          <w:szCs w:val="24"/>
        </w:rPr>
        <w:t>Autorización.</w:t>
      </w:r>
      <w:r w:rsidRPr="00FA77BD">
        <w:rPr>
          <w:rFonts w:ascii="Times New Roman" w:hAnsi="Times New Roman" w:cs="Times New Roman"/>
          <w:sz w:val="24"/>
          <w:szCs w:val="24"/>
        </w:rPr>
        <w:t xml:space="preserve"> Autorizase al Poder Ejecutivo a realizar las adecuaciones presupuestarias que resulten necesarias a efectos de dar cumplimiento a los objetivos est</w:t>
      </w:r>
      <w:r w:rsidR="005031F9">
        <w:rPr>
          <w:rFonts w:ascii="Times New Roman" w:hAnsi="Times New Roman" w:cs="Times New Roman"/>
          <w:sz w:val="24"/>
          <w:szCs w:val="24"/>
        </w:rPr>
        <w:t>ablecidos en la presente ley.</w:t>
      </w:r>
    </w:p>
    <w:p w:rsidR="00C57302" w:rsidRDefault="00C57302" w:rsidP="00E13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ARTÍTUCLO 8°</w:t>
      </w:r>
      <w:r w:rsidR="00ED637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Delegación de facultades.</w:t>
      </w:r>
      <w:r>
        <w:rPr>
          <w:rFonts w:ascii="Times New Roman" w:hAnsi="Times New Roman" w:cs="Times New Roman"/>
          <w:sz w:val="24"/>
          <w:szCs w:val="24"/>
        </w:rPr>
        <w:t xml:space="preserve"> La Autoridad de Aplicación puede delegar en los municipios y comunas de la provincia, la facultad de fiscalizar el cumplimiento de lo establecido en la presente Ley, en el ámbito territorial de</w:t>
      </w:r>
      <w:r w:rsidR="005031F9">
        <w:rPr>
          <w:rFonts w:ascii="Times New Roman" w:hAnsi="Times New Roman" w:cs="Times New Roman"/>
          <w:sz w:val="24"/>
          <w:szCs w:val="24"/>
        </w:rPr>
        <w:t xml:space="preserve"> sus respectivas competencias.</w:t>
      </w:r>
    </w:p>
    <w:p w:rsidR="00C57302" w:rsidRPr="003A2921" w:rsidRDefault="00C57302" w:rsidP="00E133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ARTÍCULO 9°</w:t>
      </w:r>
      <w:r w:rsidR="00ED637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Reglamentación.</w:t>
      </w:r>
      <w:r>
        <w:rPr>
          <w:rFonts w:ascii="Times New Roman" w:hAnsi="Times New Roman" w:cs="Times New Roman"/>
          <w:sz w:val="24"/>
          <w:szCs w:val="24"/>
        </w:rPr>
        <w:t xml:space="preserve"> El Poder Ejecutivo Provincial reglamentará la presente Ley dentro de los </w:t>
      </w:r>
      <w:r w:rsidRPr="003A2921">
        <w:rPr>
          <w:rFonts w:ascii="Times New Roman" w:hAnsi="Times New Roman" w:cs="Times New Roman"/>
          <w:sz w:val="24"/>
          <w:szCs w:val="24"/>
        </w:rPr>
        <w:t xml:space="preserve">ciento veinte </w:t>
      </w:r>
      <w:r w:rsidR="00ED6379">
        <w:rPr>
          <w:rFonts w:ascii="Times New Roman" w:hAnsi="Times New Roman" w:cs="Times New Roman"/>
          <w:sz w:val="24"/>
          <w:szCs w:val="24"/>
        </w:rPr>
        <w:t xml:space="preserve">(120) días de su promulgación. </w:t>
      </w:r>
      <w:r w:rsidRPr="003A2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2A5" w:rsidRDefault="00C57302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9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ARTÍCULO </w:t>
      </w:r>
      <w:r w:rsidR="002948B3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3A2921">
        <w:rPr>
          <w:rFonts w:ascii="Times New Roman" w:hAnsi="Times New Roman" w:cs="Times New Roman"/>
          <w:b/>
          <w:bCs/>
          <w:sz w:val="24"/>
          <w:szCs w:val="24"/>
          <w:u w:val="single"/>
        </w:rPr>
        <w:t>°</w:t>
      </w:r>
      <w:r w:rsidR="00ED637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D63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921">
        <w:rPr>
          <w:rFonts w:ascii="Times New Roman" w:hAnsi="Times New Roman" w:cs="Times New Roman"/>
          <w:b/>
          <w:bCs/>
          <w:sz w:val="24"/>
          <w:szCs w:val="24"/>
        </w:rPr>
        <w:t>De forma.</w:t>
      </w:r>
      <w:r w:rsidRPr="003A2921">
        <w:rPr>
          <w:rFonts w:ascii="Times New Roman" w:hAnsi="Times New Roman" w:cs="Times New Roman"/>
          <w:sz w:val="24"/>
          <w:szCs w:val="24"/>
        </w:rPr>
        <w:t xml:space="preserve"> Comuníquese al Poder Ejecutivo. </w:t>
      </w: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1F9" w:rsidRPr="003A2921" w:rsidRDefault="005031F9" w:rsidP="00740D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921" w:rsidRPr="003A2921" w:rsidRDefault="003A2921" w:rsidP="00740D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921" w:rsidRPr="003A2921" w:rsidRDefault="005031F9" w:rsidP="005031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 U N D A M E N T O S</w:t>
      </w:r>
    </w:p>
    <w:p w:rsidR="005031F9" w:rsidRPr="005031F9" w:rsidRDefault="005031F9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intermedio del presente proyecto de Ley se busca implementar la capacitación obligatoria en la temática de género y violencia contra las mujeres, conforme las disposiciones de la Ley Nacional N° 27.499 (Ley Micaela) y la Ley Provincial N° 10.768 (adhesión a la Ley Micaela), para la totalidad de las autoridades y de los afiliados de los partidos políticos en toda la Provincia de Entre Ríos.</w:t>
      </w:r>
    </w:p>
    <w:p w:rsidR="004D4423" w:rsidRDefault="003A2921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1F9">
        <w:rPr>
          <w:rFonts w:ascii="Times New Roman" w:hAnsi="Times New Roman" w:cs="Times New Roman"/>
          <w:sz w:val="24"/>
          <w:szCs w:val="24"/>
        </w:rPr>
        <w:t>La Constitución Nacional a través de su artículo 38, considera a los Partidos Políticos como instituciones fundame</w:t>
      </w:r>
      <w:r w:rsidR="004D4423">
        <w:rPr>
          <w:rFonts w:ascii="Times New Roman" w:hAnsi="Times New Roman" w:cs="Times New Roman"/>
          <w:sz w:val="24"/>
          <w:szCs w:val="24"/>
        </w:rPr>
        <w:t>ntales del sistema democrático; estos partidos son</w:t>
      </w:r>
      <w:r w:rsidRPr="005031F9">
        <w:rPr>
          <w:rFonts w:ascii="Times New Roman" w:hAnsi="Times New Roman" w:cs="Times New Roman"/>
          <w:sz w:val="24"/>
          <w:szCs w:val="24"/>
        </w:rPr>
        <w:t xml:space="preserve"> reg</w:t>
      </w:r>
      <w:r w:rsidR="004D4423">
        <w:rPr>
          <w:rFonts w:ascii="Times New Roman" w:hAnsi="Times New Roman" w:cs="Times New Roman"/>
          <w:sz w:val="24"/>
          <w:szCs w:val="24"/>
        </w:rPr>
        <w:t>ulados en su funcionamiento través de la Ley N</w:t>
      </w:r>
      <w:r w:rsidRPr="005031F9">
        <w:rPr>
          <w:rFonts w:ascii="Times New Roman" w:hAnsi="Times New Roman" w:cs="Times New Roman"/>
          <w:sz w:val="24"/>
          <w:szCs w:val="24"/>
        </w:rPr>
        <w:t>acional Nº 23.2</w:t>
      </w:r>
      <w:r w:rsidR="004D4423">
        <w:rPr>
          <w:rFonts w:ascii="Times New Roman" w:hAnsi="Times New Roman" w:cs="Times New Roman"/>
          <w:sz w:val="24"/>
          <w:szCs w:val="24"/>
        </w:rPr>
        <w:t xml:space="preserve">98 (Ley </w:t>
      </w:r>
      <w:r w:rsidRPr="005031F9">
        <w:rPr>
          <w:rFonts w:ascii="Times New Roman" w:hAnsi="Times New Roman" w:cs="Times New Roman"/>
          <w:sz w:val="24"/>
          <w:szCs w:val="24"/>
        </w:rPr>
        <w:t>Orgánica de Partidos Políticos</w:t>
      </w:r>
      <w:r w:rsidR="004D4423">
        <w:rPr>
          <w:rFonts w:ascii="Times New Roman" w:hAnsi="Times New Roman" w:cs="Times New Roman"/>
          <w:sz w:val="24"/>
          <w:szCs w:val="24"/>
        </w:rPr>
        <w:t>) y en nuestra provincia</w:t>
      </w:r>
      <w:r w:rsidRPr="005031F9">
        <w:rPr>
          <w:rFonts w:ascii="Times New Roman" w:hAnsi="Times New Roman" w:cs="Times New Roman"/>
          <w:sz w:val="24"/>
          <w:szCs w:val="24"/>
        </w:rPr>
        <w:t xml:space="preserve"> de Entre Ríos</w:t>
      </w:r>
      <w:r w:rsidR="004D4423">
        <w:rPr>
          <w:rFonts w:ascii="Times New Roman" w:hAnsi="Times New Roman" w:cs="Times New Roman"/>
          <w:sz w:val="24"/>
          <w:szCs w:val="24"/>
        </w:rPr>
        <w:t xml:space="preserve"> por medio de la ley N° 5.170</w:t>
      </w:r>
      <w:r w:rsidRPr="005031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423" w:rsidRDefault="003A2921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1F9">
        <w:rPr>
          <w:rFonts w:ascii="Times New Roman" w:hAnsi="Times New Roman" w:cs="Times New Roman"/>
          <w:sz w:val="24"/>
          <w:szCs w:val="24"/>
        </w:rPr>
        <w:t>Que en su naturaleza jurídica los partidos políticos representan dos ámbitos diferenciados. Uno de ellos es su carácter de asociación civil como persona jurídica y que hace a la existencia del partido y el otro aspecto es la personería jurídico-política para presentar candidatos e intervenir en elecciones que está</w:t>
      </w:r>
      <w:r w:rsidR="004D4423">
        <w:rPr>
          <w:rFonts w:ascii="Times New Roman" w:hAnsi="Times New Roman" w:cs="Times New Roman"/>
          <w:sz w:val="24"/>
          <w:szCs w:val="24"/>
        </w:rPr>
        <w:t xml:space="preserve"> sujeta a requisitos propios de la</w:t>
      </w:r>
      <w:r w:rsidRPr="005031F9">
        <w:rPr>
          <w:rFonts w:ascii="Times New Roman" w:hAnsi="Times New Roman" w:cs="Times New Roman"/>
          <w:sz w:val="24"/>
          <w:szCs w:val="24"/>
        </w:rPr>
        <w:t xml:space="preserve"> ley orgán</w:t>
      </w:r>
      <w:r w:rsidR="004D4423">
        <w:rPr>
          <w:rFonts w:ascii="Times New Roman" w:hAnsi="Times New Roman" w:cs="Times New Roman"/>
          <w:sz w:val="24"/>
          <w:szCs w:val="24"/>
        </w:rPr>
        <w:t>ica de partidos políticos citada precedentemente</w:t>
      </w:r>
      <w:r w:rsidRPr="005031F9">
        <w:rPr>
          <w:rFonts w:ascii="Times New Roman" w:hAnsi="Times New Roman" w:cs="Times New Roman"/>
          <w:sz w:val="24"/>
          <w:szCs w:val="24"/>
        </w:rPr>
        <w:t>. En su definición los partidos políticos son una organización política con cierta ambición de permanencia que agrupa a una serie de personas relativamente cohesionadas en torno a una ideología, y sobre todo a la voluntad de llegar al poder público, que se traduce en los sistemas democráticos en candidaturas para ganar representación, y si es posible acceso al gobierno. Con la extensión del sufragio, expresan el pluralismo político de forma im</w:t>
      </w:r>
      <w:r w:rsidR="004D4423">
        <w:rPr>
          <w:rFonts w:ascii="Times New Roman" w:hAnsi="Times New Roman" w:cs="Times New Roman"/>
          <w:sz w:val="24"/>
          <w:szCs w:val="24"/>
        </w:rPr>
        <w:t>prescindible para estructurar e</w:t>
      </w:r>
      <w:r w:rsidRPr="005031F9">
        <w:rPr>
          <w:rFonts w:ascii="Times New Roman" w:hAnsi="Times New Roman" w:cs="Times New Roman"/>
          <w:sz w:val="24"/>
          <w:szCs w:val="24"/>
        </w:rPr>
        <w:t xml:space="preserve"> incorporar las masas a la democracia. </w:t>
      </w:r>
    </w:p>
    <w:p w:rsidR="004D4423" w:rsidRDefault="004D4423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Sabido es que los</w:t>
      </w:r>
      <w:r w:rsidR="003A2921" w:rsidRPr="005031F9">
        <w:rPr>
          <w:rFonts w:ascii="Times New Roman" w:hAnsi="Times New Roman" w:cs="Times New Roman"/>
          <w:sz w:val="24"/>
          <w:szCs w:val="24"/>
        </w:rPr>
        <w:t xml:space="preserve"> partidos políticos y sus ámbitos espaciales son concurridos por hombres y mujeres de diferentes edades, formación, y cosmovisiones, unidos por una ideología en común. En estos ámbitos de relacionamiento, atravesados por relaciones de poder y de asimetría, donde aún prima la desigualdad estructural entre mujeres y var</w:t>
      </w:r>
      <w:r>
        <w:rPr>
          <w:rFonts w:ascii="Times New Roman" w:hAnsi="Times New Roman" w:cs="Times New Roman"/>
          <w:sz w:val="24"/>
          <w:szCs w:val="24"/>
        </w:rPr>
        <w:t>ones,</w:t>
      </w:r>
      <w:r w:rsidR="003A2921" w:rsidRPr="005031F9">
        <w:rPr>
          <w:rFonts w:ascii="Times New Roman" w:hAnsi="Times New Roman" w:cs="Times New Roman"/>
          <w:sz w:val="24"/>
          <w:szCs w:val="24"/>
        </w:rPr>
        <w:t xml:space="preserve"> resulta fundamental sensibilizar a sus concurrentes en la temática de género y violencia contra las mujeres.  </w:t>
      </w:r>
    </w:p>
    <w:p w:rsidR="004D4423" w:rsidRDefault="003A2921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1F9">
        <w:rPr>
          <w:rFonts w:ascii="Times New Roman" w:hAnsi="Times New Roman" w:cs="Times New Roman"/>
          <w:sz w:val="24"/>
          <w:szCs w:val="24"/>
        </w:rPr>
        <w:lastRenderedPageBreak/>
        <w:t xml:space="preserve">La violencia contra las mujeres es una problemática social multicausal que debe encararse desde diferentes campos y de manera </w:t>
      </w:r>
      <w:proofErr w:type="spellStart"/>
      <w:r w:rsidRPr="005031F9">
        <w:rPr>
          <w:rFonts w:ascii="Times New Roman" w:hAnsi="Times New Roman" w:cs="Times New Roman"/>
          <w:sz w:val="24"/>
          <w:szCs w:val="24"/>
        </w:rPr>
        <w:t>transdisciplinaria</w:t>
      </w:r>
      <w:proofErr w:type="spellEnd"/>
      <w:r w:rsidRPr="005031F9">
        <w:rPr>
          <w:rFonts w:ascii="Times New Roman" w:hAnsi="Times New Roman" w:cs="Times New Roman"/>
          <w:sz w:val="24"/>
          <w:szCs w:val="24"/>
        </w:rPr>
        <w:t>. Es importante generar conciencia sobre la violencia contra las mujeres como manifestación de la discriminación que las afecta, su magnitud, sus consecuencias negativas para las sociedades en su conjunto, y también brindar herramientas para la prevención. Estas acciones deben complementarse con acciones permanentes de capacitación y sensibilización. En la medida en que se avanza en la información y sensibilización, se produce el empoderamiento de las mujeres y se potencian sus aptitudes y recursos personales, se progresa tanto hacia la igualdad de oportunidades y derechos</w:t>
      </w:r>
      <w:r w:rsidR="004D4423">
        <w:rPr>
          <w:rFonts w:ascii="Times New Roman" w:hAnsi="Times New Roman" w:cs="Times New Roman"/>
          <w:sz w:val="24"/>
          <w:szCs w:val="24"/>
        </w:rPr>
        <w:t>,</w:t>
      </w:r>
      <w:r w:rsidRPr="005031F9">
        <w:rPr>
          <w:rFonts w:ascii="Times New Roman" w:hAnsi="Times New Roman" w:cs="Times New Roman"/>
          <w:sz w:val="24"/>
          <w:szCs w:val="24"/>
        </w:rPr>
        <w:t xml:space="preserve"> como a la inclusión de la diversidad. </w:t>
      </w:r>
    </w:p>
    <w:p w:rsidR="003A2921" w:rsidRDefault="004D4423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Considero H. Cuerpo, que i</w:t>
      </w:r>
      <w:r w:rsidR="003A2921" w:rsidRPr="005031F9">
        <w:rPr>
          <w:rFonts w:ascii="Times New Roman" w:hAnsi="Times New Roman" w:cs="Times New Roman"/>
          <w:sz w:val="24"/>
          <w:szCs w:val="24"/>
        </w:rPr>
        <w:t xml:space="preserve">ntegrar el enfoque de género a los partidos políticos contribuye a la elaboración e implementación de directrices institucionales, orientadas a favorecer la igualdad </w:t>
      </w:r>
      <w:r>
        <w:rPr>
          <w:rFonts w:ascii="Times New Roman" w:hAnsi="Times New Roman" w:cs="Times New Roman"/>
          <w:sz w:val="24"/>
          <w:szCs w:val="24"/>
        </w:rPr>
        <w:t>real de oportunidades</w:t>
      </w:r>
      <w:r w:rsidR="003A2921" w:rsidRPr="005031F9">
        <w:rPr>
          <w:rFonts w:ascii="Times New Roman" w:hAnsi="Times New Roman" w:cs="Times New Roman"/>
          <w:sz w:val="24"/>
          <w:szCs w:val="24"/>
        </w:rPr>
        <w:t xml:space="preserve"> y a reflexionar   sobre las cuestiones culturales en torno a la temática, además de promover la prevención de situaciones de discriminación y violencia contra las mujeres.</w:t>
      </w:r>
    </w:p>
    <w:p w:rsidR="004D4423" w:rsidRPr="005031F9" w:rsidRDefault="004D4423" w:rsidP="005031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tales razones y a las que estoy dispuesta a verter en el momento oportuno, doy por fundada la iniciativa e invito a mis pares a acompañarme con su voto favorable. </w:t>
      </w:r>
      <w:bookmarkStart w:id="0" w:name="_GoBack"/>
      <w:bookmarkEnd w:id="0"/>
    </w:p>
    <w:p w:rsidR="003A2921" w:rsidRPr="003A2921" w:rsidRDefault="003A2921" w:rsidP="003A2921">
      <w:pPr>
        <w:spacing w:line="360" w:lineRule="auto"/>
        <w:jc w:val="both"/>
        <w:rPr>
          <w:rFonts w:ascii="Times New Roman" w:hAnsi="Times New Roman" w:cs="Times New Roman"/>
        </w:rPr>
      </w:pPr>
    </w:p>
    <w:p w:rsidR="00F152A5" w:rsidRPr="003A2921" w:rsidRDefault="00F152A5" w:rsidP="006E7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302" w:rsidRPr="003A2921" w:rsidRDefault="00C57302" w:rsidP="00C573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B0" w:rsidRPr="003A2921" w:rsidRDefault="006E7BB0" w:rsidP="00A539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BB0" w:rsidRPr="003A2921" w:rsidRDefault="006E7BB0" w:rsidP="006E7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BB0" w:rsidRPr="003A2921" w:rsidRDefault="006E7BB0" w:rsidP="00B20E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7BB0" w:rsidRPr="003A2921" w:rsidSect="00B20E4F">
      <w:pgSz w:w="11906" w:h="16838"/>
      <w:pgMar w:top="3402" w:right="85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051"/>
    <w:multiLevelType w:val="hybridMultilevel"/>
    <w:tmpl w:val="1576A9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B1FC7"/>
    <w:multiLevelType w:val="hybridMultilevel"/>
    <w:tmpl w:val="550C10F6"/>
    <w:lvl w:ilvl="0" w:tplc="033A0D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955"/>
    <w:rsid w:val="00045DC6"/>
    <w:rsid w:val="00157EAE"/>
    <w:rsid w:val="00180C95"/>
    <w:rsid w:val="001B3B56"/>
    <w:rsid w:val="002843C6"/>
    <w:rsid w:val="002909E8"/>
    <w:rsid w:val="002948B3"/>
    <w:rsid w:val="002F0295"/>
    <w:rsid w:val="003904F8"/>
    <w:rsid w:val="00395187"/>
    <w:rsid w:val="003A2921"/>
    <w:rsid w:val="003B7362"/>
    <w:rsid w:val="003F268F"/>
    <w:rsid w:val="004D4423"/>
    <w:rsid w:val="005031F9"/>
    <w:rsid w:val="00504147"/>
    <w:rsid w:val="0051714D"/>
    <w:rsid w:val="00552EC0"/>
    <w:rsid w:val="00600DA6"/>
    <w:rsid w:val="0062470F"/>
    <w:rsid w:val="0066299A"/>
    <w:rsid w:val="00694824"/>
    <w:rsid w:val="006C3029"/>
    <w:rsid w:val="006E0F96"/>
    <w:rsid w:val="006E7BB0"/>
    <w:rsid w:val="00713279"/>
    <w:rsid w:val="007315F6"/>
    <w:rsid w:val="00740D01"/>
    <w:rsid w:val="0085020E"/>
    <w:rsid w:val="008E315E"/>
    <w:rsid w:val="00925955"/>
    <w:rsid w:val="00990250"/>
    <w:rsid w:val="009C6552"/>
    <w:rsid w:val="009D455C"/>
    <w:rsid w:val="009F4F1F"/>
    <w:rsid w:val="00A0349B"/>
    <w:rsid w:val="00A22645"/>
    <w:rsid w:val="00A53993"/>
    <w:rsid w:val="00B10288"/>
    <w:rsid w:val="00B12D76"/>
    <w:rsid w:val="00B20E4F"/>
    <w:rsid w:val="00B853BD"/>
    <w:rsid w:val="00BD191E"/>
    <w:rsid w:val="00C57302"/>
    <w:rsid w:val="00C6401D"/>
    <w:rsid w:val="00CA44F1"/>
    <w:rsid w:val="00CA63C2"/>
    <w:rsid w:val="00CF1A74"/>
    <w:rsid w:val="00D77FB4"/>
    <w:rsid w:val="00D94078"/>
    <w:rsid w:val="00E1335F"/>
    <w:rsid w:val="00E806CB"/>
    <w:rsid w:val="00ED6379"/>
    <w:rsid w:val="00EF32A8"/>
    <w:rsid w:val="00F152A5"/>
    <w:rsid w:val="00F532B6"/>
    <w:rsid w:val="00FA2FE8"/>
    <w:rsid w:val="00FA3CD1"/>
    <w:rsid w:val="00FA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6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2F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1075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Usuario</cp:lastModifiedBy>
  <cp:revision>8</cp:revision>
  <cp:lastPrinted>2020-07-19T20:32:00Z</cp:lastPrinted>
  <dcterms:created xsi:type="dcterms:W3CDTF">2020-12-02T15:05:00Z</dcterms:created>
  <dcterms:modified xsi:type="dcterms:W3CDTF">2020-12-03T23:09:00Z</dcterms:modified>
</cp:coreProperties>
</file>