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A80" w:rsidRDefault="00750A80" w:rsidP="00F70344">
      <w:pPr>
        <w:pStyle w:val="Textoindependiente"/>
        <w:jc w:val="center"/>
        <w:rPr>
          <w:spacing w:val="-6"/>
          <w:sz w:val="22"/>
        </w:rPr>
      </w:pPr>
      <w:r>
        <w:rPr>
          <w:spacing w:val="-6"/>
          <w:sz w:val="22"/>
        </w:rPr>
        <w:t>LA LEGISLATURA DE LA PROVINCIA DE ENTRE RÍOS SANCIONA CON FUERZA DE</w:t>
      </w:r>
    </w:p>
    <w:p w:rsidR="00750A80" w:rsidRDefault="00750A80" w:rsidP="00F70344">
      <w:pPr>
        <w:jc w:val="center"/>
        <w:rPr>
          <w:rFonts w:ascii="Arial" w:hAnsi="Arial"/>
          <w:b/>
        </w:rPr>
      </w:pPr>
    </w:p>
    <w:p w:rsidR="00750A80" w:rsidRPr="00AF2FE9" w:rsidRDefault="00750A80" w:rsidP="00F70344">
      <w:pPr>
        <w:spacing w:after="0" w:line="240" w:lineRule="auto"/>
        <w:jc w:val="center"/>
        <w:rPr>
          <w:rFonts w:ascii="Arial" w:hAnsi="Arial"/>
          <w:b/>
          <w:sz w:val="24"/>
          <w:szCs w:val="24"/>
        </w:rPr>
      </w:pPr>
      <w:r w:rsidRPr="00AF2FE9">
        <w:rPr>
          <w:rFonts w:ascii="Arial" w:hAnsi="Arial"/>
          <w:b/>
          <w:sz w:val="24"/>
          <w:szCs w:val="24"/>
        </w:rPr>
        <w:t xml:space="preserve">L E </w:t>
      </w:r>
      <w:proofErr w:type="gramStart"/>
      <w:r w:rsidRPr="00AF2FE9">
        <w:rPr>
          <w:rFonts w:ascii="Arial" w:hAnsi="Arial"/>
          <w:b/>
          <w:sz w:val="24"/>
          <w:szCs w:val="24"/>
        </w:rPr>
        <w:t>Y :</w:t>
      </w:r>
      <w:proofErr w:type="gramEnd"/>
    </w:p>
    <w:p w:rsidR="00750A80" w:rsidRPr="003255FD" w:rsidRDefault="00750A80" w:rsidP="003255FD">
      <w:pPr>
        <w:spacing w:after="0" w:line="240" w:lineRule="auto"/>
        <w:jc w:val="both"/>
        <w:rPr>
          <w:rFonts w:ascii="Arial" w:hAnsi="Arial"/>
          <w:sz w:val="24"/>
          <w:szCs w:val="24"/>
        </w:rPr>
      </w:pPr>
    </w:p>
    <w:p w:rsidR="00750A80" w:rsidRPr="003255FD" w:rsidRDefault="00750A80" w:rsidP="003255FD">
      <w:pPr>
        <w:spacing w:after="0" w:line="240" w:lineRule="auto"/>
        <w:jc w:val="both"/>
        <w:rPr>
          <w:rFonts w:ascii="Arial" w:hAnsi="Arial"/>
          <w:sz w:val="24"/>
          <w:szCs w:val="24"/>
        </w:rPr>
      </w:pPr>
    </w:p>
    <w:p w:rsidR="00750A80" w:rsidRPr="003255FD" w:rsidRDefault="00750A80" w:rsidP="003255FD">
      <w:pPr>
        <w:spacing w:after="0" w:line="240" w:lineRule="auto"/>
        <w:jc w:val="both"/>
        <w:rPr>
          <w:rFonts w:ascii="Arial" w:hAnsi="Arial"/>
          <w:sz w:val="24"/>
          <w:szCs w:val="24"/>
        </w:rPr>
      </w:pPr>
    </w:p>
    <w:p w:rsidR="00750A80" w:rsidRDefault="00750A80" w:rsidP="00750A80">
      <w:pPr>
        <w:tabs>
          <w:tab w:val="left" w:pos="9639"/>
        </w:tabs>
        <w:spacing w:after="0" w:line="240" w:lineRule="auto"/>
        <w:jc w:val="both"/>
        <w:rPr>
          <w:rFonts w:ascii="Arial" w:hAnsi="Arial" w:cs="Arial"/>
          <w:sz w:val="24"/>
          <w:szCs w:val="24"/>
        </w:rPr>
      </w:pPr>
      <w:r w:rsidRPr="003255FD">
        <w:rPr>
          <w:rFonts w:ascii="Arial" w:hAnsi="Arial" w:cs="Arial"/>
          <w:b/>
          <w:sz w:val="24"/>
          <w:szCs w:val="24"/>
          <w:u w:val="single"/>
        </w:rPr>
        <w:t>ARTICULO 1°.-</w:t>
      </w:r>
      <w:r w:rsidRPr="003255FD">
        <w:rPr>
          <w:rFonts w:ascii="Arial" w:hAnsi="Arial" w:cs="Arial"/>
          <w:bCs/>
          <w:sz w:val="24"/>
          <w:szCs w:val="24"/>
        </w:rPr>
        <w:t xml:space="preserve"> </w:t>
      </w:r>
      <w:r w:rsidRPr="00750A80">
        <w:rPr>
          <w:rFonts w:ascii="Arial" w:hAnsi="Arial" w:cs="Arial"/>
          <w:sz w:val="24"/>
          <w:szCs w:val="24"/>
        </w:rPr>
        <w:t>Los establecimientos radicados en la Provincia que detentan autorización por parte de la autoridad competente para realizar actividades de prestación de servicios de venta de comidas y bebidas al público, ya sea en forma permanente, discontinua u ocasional, que cuenten con el servicio de agua potable de red apta para el consumo humano, deben disponer para sus clientes el acceso gratuito al agua mediante la provisión de una jarra de mesa u otro receptáculo con una cantidad no menor a trescientos centímetros cúbicos (300 cm3) por persona, garantiza</w:t>
      </w:r>
      <w:r>
        <w:rPr>
          <w:rFonts w:ascii="Arial" w:hAnsi="Arial" w:cs="Arial"/>
          <w:sz w:val="24"/>
          <w:szCs w:val="24"/>
        </w:rPr>
        <w:t>ndo el derecho humano al agua.</w:t>
      </w:r>
    </w:p>
    <w:p w:rsidR="00750A80" w:rsidRPr="00750A80" w:rsidRDefault="00750A80" w:rsidP="00750A80">
      <w:pPr>
        <w:tabs>
          <w:tab w:val="left" w:pos="9639"/>
        </w:tabs>
        <w:spacing w:after="0" w:line="240" w:lineRule="auto"/>
        <w:jc w:val="both"/>
        <w:rPr>
          <w:rFonts w:ascii="Arial" w:hAnsi="Arial" w:cs="Arial"/>
          <w:sz w:val="24"/>
          <w:szCs w:val="24"/>
        </w:rPr>
      </w:pPr>
    </w:p>
    <w:p w:rsidR="00750A80" w:rsidRDefault="00750A80" w:rsidP="00750A80">
      <w:pPr>
        <w:tabs>
          <w:tab w:val="left" w:pos="9639"/>
        </w:tabs>
        <w:spacing w:after="0" w:line="240" w:lineRule="auto"/>
        <w:jc w:val="both"/>
        <w:rPr>
          <w:rFonts w:ascii="Arial" w:hAnsi="Arial" w:cs="Arial"/>
          <w:sz w:val="24"/>
          <w:szCs w:val="24"/>
        </w:rPr>
      </w:pPr>
      <w:r w:rsidRPr="00750A80">
        <w:rPr>
          <w:rFonts w:ascii="Arial" w:hAnsi="Arial" w:cs="Arial"/>
          <w:b/>
          <w:sz w:val="24"/>
          <w:szCs w:val="24"/>
          <w:u w:val="single"/>
        </w:rPr>
        <w:t>ARTÍCULO 2º.-</w:t>
      </w:r>
      <w:r w:rsidRPr="00750A80">
        <w:rPr>
          <w:rFonts w:ascii="Arial" w:hAnsi="Arial" w:cs="Arial"/>
          <w:sz w:val="24"/>
          <w:szCs w:val="24"/>
        </w:rPr>
        <w:t xml:space="preserve"> </w:t>
      </w:r>
      <w:r w:rsidRPr="00750A80">
        <w:rPr>
          <w:rFonts w:ascii="Arial" w:hAnsi="Arial" w:cs="Arial"/>
          <w:b/>
          <w:sz w:val="24"/>
          <w:szCs w:val="24"/>
        </w:rPr>
        <w:t>Acceso gratuito al agua potable de red.</w:t>
      </w:r>
      <w:r w:rsidRPr="00750A80">
        <w:rPr>
          <w:rFonts w:ascii="Arial" w:hAnsi="Arial" w:cs="Arial"/>
          <w:sz w:val="24"/>
          <w:szCs w:val="24"/>
        </w:rPr>
        <w:t xml:space="preserve"> En los establecimientos y lugares públicos dependientes de los distintos órganos de poder del Estado Provincial y Municipal, sus organismos descentralizados, entes autárquicos, empresas y sociedades del Estado, y todo otro sujeto de derecho que este integre, como asimismo establecimientos privados de acceso masivo al público, se debe disponer de bebederos u otro dispositivo de acceso gratuito al agua potable de red, tanto para los trabajadores como para los ciudadan</w:t>
      </w:r>
      <w:r>
        <w:rPr>
          <w:rFonts w:ascii="Arial" w:hAnsi="Arial" w:cs="Arial"/>
          <w:sz w:val="24"/>
          <w:szCs w:val="24"/>
        </w:rPr>
        <w:t>os que asistan a esos lugares.</w:t>
      </w:r>
    </w:p>
    <w:p w:rsidR="00750A80" w:rsidRPr="00750A80" w:rsidRDefault="00750A80" w:rsidP="00750A80">
      <w:pPr>
        <w:tabs>
          <w:tab w:val="left" w:pos="9639"/>
        </w:tabs>
        <w:spacing w:after="0" w:line="240" w:lineRule="auto"/>
        <w:jc w:val="both"/>
        <w:rPr>
          <w:rFonts w:ascii="Arial" w:hAnsi="Arial" w:cs="Arial"/>
          <w:sz w:val="24"/>
          <w:szCs w:val="24"/>
        </w:rPr>
      </w:pPr>
    </w:p>
    <w:p w:rsidR="00750A80" w:rsidRDefault="00750A80" w:rsidP="00750A80">
      <w:pPr>
        <w:tabs>
          <w:tab w:val="left" w:pos="9639"/>
        </w:tabs>
        <w:spacing w:after="0" w:line="240" w:lineRule="auto"/>
        <w:jc w:val="both"/>
        <w:rPr>
          <w:rFonts w:ascii="Arial" w:hAnsi="Arial" w:cs="Arial"/>
          <w:sz w:val="24"/>
          <w:szCs w:val="24"/>
        </w:rPr>
      </w:pPr>
      <w:r w:rsidRPr="00750A80">
        <w:rPr>
          <w:rFonts w:ascii="Arial" w:hAnsi="Arial" w:cs="Arial"/>
          <w:b/>
          <w:sz w:val="24"/>
          <w:szCs w:val="24"/>
          <w:u w:val="single"/>
        </w:rPr>
        <w:t>ARTÍCULO 3°.-</w:t>
      </w:r>
      <w:r w:rsidRPr="00750A80">
        <w:rPr>
          <w:rFonts w:ascii="Arial" w:hAnsi="Arial" w:cs="Arial"/>
          <w:sz w:val="24"/>
          <w:szCs w:val="24"/>
        </w:rPr>
        <w:t xml:space="preserve"> </w:t>
      </w:r>
      <w:r w:rsidRPr="00750A80">
        <w:rPr>
          <w:rFonts w:ascii="Arial" w:hAnsi="Arial" w:cs="Arial"/>
          <w:b/>
          <w:sz w:val="24"/>
          <w:szCs w:val="24"/>
        </w:rPr>
        <w:t>Promoción del uso de agua de red.</w:t>
      </w:r>
      <w:r w:rsidRPr="00750A80">
        <w:rPr>
          <w:rFonts w:ascii="Arial" w:hAnsi="Arial" w:cs="Arial"/>
          <w:sz w:val="24"/>
          <w:szCs w:val="24"/>
        </w:rPr>
        <w:t xml:space="preserve"> En las convenciones, congresos, conferencias, seminarios, reuniones y demás actividades cuya organización involucre a organismos dependientes del Estado de la Provincia, se debe promover el uso de agua de red con preferencia a todo otro tipo de agu</w:t>
      </w:r>
      <w:r>
        <w:rPr>
          <w:rFonts w:ascii="Arial" w:hAnsi="Arial" w:cs="Arial"/>
          <w:sz w:val="24"/>
          <w:szCs w:val="24"/>
        </w:rPr>
        <w:t>a tratada para consumo humano.</w:t>
      </w:r>
    </w:p>
    <w:p w:rsidR="00750A80" w:rsidRPr="00750A80" w:rsidRDefault="00750A80" w:rsidP="00750A80">
      <w:pPr>
        <w:tabs>
          <w:tab w:val="left" w:pos="9639"/>
        </w:tabs>
        <w:spacing w:after="0" w:line="240" w:lineRule="auto"/>
        <w:jc w:val="both"/>
        <w:rPr>
          <w:rFonts w:ascii="Arial" w:hAnsi="Arial" w:cs="Arial"/>
          <w:sz w:val="24"/>
          <w:szCs w:val="24"/>
        </w:rPr>
      </w:pPr>
    </w:p>
    <w:p w:rsidR="00750A80" w:rsidRDefault="00750A80" w:rsidP="00750A80">
      <w:pPr>
        <w:tabs>
          <w:tab w:val="left" w:pos="9639"/>
        </w:tabs>
        <w:spacing w:after="0" w:line="240" w:lineRule="auto"/>
        <w:jc w:val="both"/>
        <w:rPr>
          <w:rFonts w:ascii="Arial" w:hAnsi="Arial" w:cs="Arial"/>
          <w:sz w:val="24"/>
          <w:szCs w:val="24"/>
        </w:rPr>
      </w:pPr>
      <w:r w:rsidRPr="00750A80">
        <w:rPr>
          <w:rFonts w:ascii="Arial" w:hAnsi="Arial" w:cs="Arial"/>
          <w:b/>
          <w:sz w:val="24"/>
          <w:szCs w:val="24"/>
          <w:u w:val="single"/>
        </w:rPr>
        <w:t>ARTÍCULO 4°.-</w:t>
      </w:r>
      <w:r w:rsidRPr="00750A80">
        <w:rPr>
          <w:rFonts w:ascii="Arial" w:hAnsi="Arial" w:cs="Arial"/>
          <w:sz w:val="24"/>
          <w:szCs w:val="24"/>
        </w:rPr>
        <w:t xml:space="preserve"> </w:t>
      </w:r>
      <w:r w:rsidRPr="00750A80">
        <w:rPr>
          <w:rFonts w:ascii="Arial" w:hAnsi="Arial" w:cs="Arial"/>
          <w:b/>
          <w:sz w:val="24"/>
          <w:szCs w:val="24"/>
        </w:rPr>
        <w:t>Autoridad de aplicación.</w:t>
      </w:r>
      <w:r w:rsidRPr="00750A80">
        <w:rPr>
          <w:rFonts w:ascii="Arial" w:hAnsi="Arial" w:cs="Arial"/>
          <w:sz w:val="24"/>
          <w:szCs w:val="24"/>
        </w:rPr>
        <w:t xml:space="preserve"> Delegación: La autoridad de aplicación de la presente ley es el Ministerio de Salud de la Provincia, o el área que en el futuro lo reemplace en sus funciones, el cual coordinará las tareas de fiscalización con las autoridades municipales para el cumplimiento de la presente ley en sus respectivas jurisdicciones, conforme a la competencia prevista en el artículo 11 incisos c) y h) de la Ley Orgánica de Munici</w:t>
      </w:r>
      <w:r>
        <w:rPr>
          <w:rFonts w:ascii="Arial" w:hAnsi="Arial" w:cs="Arial"/>
          <w:sz w:val="24"/>
          <w:szCs w:val="24"/>
        </w:rPr>
        <w:t>pios N° 10.027.</w:t>
      </w:r>
    </w:p>
    <w:p w:rsidR="00750A80" w:rsidRPr="00750A80" w:rsidRDefault="00750A80" w:rsidP="00750A80">
      <w:pPr>
        <w:tabs>
          <w:tab w:val="left" w:pos="9639"/>
        </w:tabs>
        <w:spacing w:after="0" w:line="240" w:lineRule="auto"/>
        <w:jc w:val="both"/>
        <w:rPr>
          <w:rFonts w:ascii="Arial" w:hAnsi="Arial" w:cs="Arial"/>
          <w:sz w:val="24"/>
          <w:szCs w:val="24"/>
        </w:rPr>
      </w:pPr>
    </w:p>
    <w:p w:rsidR="00750A80" w:rsidRDefault="00750A80" w:rsidP="00750A80">
      <w:pPr>
        <w:tabs>
          <w:tab w:val="left" w:pos="9639"/>
        </w:tabs>
        <w:spacing w:after="0" w:line="240" w:lineRule="auto"/>
        <w:jc w:val="both"/>
        <w:rPr>
          <w:rFonts w:ascii="Arial" w:hAnsi="Arial" w:cs="Arial"/>
          <w:sz w:val="24"/>
          <w:szCs w:val="24"/>
        </w:rPr>
      </w:pPr>
      <w:r w:rsidRPr="00750A80">
        <w:rPr>
          <w:rFonts w:ascii="Arial" w:hAnsi="Arial" w:cs="Arial"/>
          <w:b/>
          <w:sz w:val="24"/>
          <w:szCs w:val="24"/>
          <w:u w:val="single"/>
        </w:rPr>
        <w:t>ARTÍCULO 5°.-</w:t>
      </w:r>
      <w:r w:rsidRPr="00750A80">
        <w:rPr>
          <w:rFonts w:ascii="Arial" w:hAnsi="Arial" w:cs="Arial"/>
          <w:sz w:val="24"/>
          <w:szCs w:val="24"/>
        </w:rPr>
        <w:t xml:space="preserve"> </w:t>
      </w:r>
      <w:r w:rsidRPr="00750A80">
        <w:rPr>
          <w:rFonts w:ascii="Arial" w:hAnsi="Arial" w:cs="Arial"/>
          <w:b/>
          <w:sz w:val="24"/>
          <w:szCs w:val="24"/>
        </w:rPr>
        <w:t>Sanciones.</w:t>
      </w:r>
      <w:r w:rsidRPr="00750A80">
        <w:rPr>
          <w:rFonts w:ascii="Arial" w:hAnsi="Arial" w:cs="Arial"/>
          <w:sz w:val="24"/>
          <w:szCs w:val="24"/>
        </w:rPr>
        <w:t xml:space="preserve"> En caso de verificarse el incumplimiento de los preceptos de la presente, las autoridades previstas en el artículo 4 de esta ley deberán, previa sustanciación del procedimiento administrativo pertinente, aplicar las sanci</w:t>
      </w:r>
      <w:r>
        <w:rPr>
          <w:rFonts w:ascii="Arial" w:hAnsi="Arial" w:cs="Arial"/>
          <w:sz w:val="24"/>
          <w:szCs w:val="24"/>
        </w:rPr>
        <w:t>ones que pudieren corresponder.</w:t>
      </w:r>
      <w:r w:rsidRPr="00750A80">
        <w:rPr>
          <w:rFonts w:ascii="Arial" w:hAnsi="Arial" w:cs="Arial"/>
          <w:sz w:val="24"/>
          <w:szCs w:val="24"/>
        </w:rPr>
        <w:t xml:space="preserve"> </w:t>
      </w:r>
    </w:p>
    <w:p w:rsidR="00750A80" w:rsidRPr="00750A80" w:rsidRDefault="00750A80" w:rsidP="00750A80">
      <w:pPr>
        <w:tabs>
          <w:tab w:val="left" w:pos="9639"/>
        </w:tabs>
        <w:spacing w:after="0" w:line="240" w:lineRule="auto"/>
        <w:jc w:val="both"/>
        <w:rPr>
          <w:rFonts w:ascii="Arial" w:hAnsi="Arial" w:cs="Arial"/>
          <w:sz w:val="24"/>
          <w:szCs w:val="24"/>
        </w:rPr>
      </w:pPr>
    </w:p>
    <w:p w:rsidR="00750A80" w:rsidRDefault="00750A80" w:rsidP="00750A80">
      <w:pPr>
        <w:tabs>
          <w:tab w:val="left" w:pos="9639"/>
        </w:tabs>
        <w:spacing w:after="0" w:line="240" w:lineRule="auto"/>
        <w:jc w:val="both"/>
        <w:rPr>
          <w:rFonts w:ascii="Arial" w:hAnsi="Arial" w:cs="Arial"/>
          <w:sz w:val="24"/>
          <w:szCs w:val="24"/>
        </w:rPr>
      </w:pPr>
      <w:r w:rsidRPr="00750A80">
        <w:rPr>
          <w:rFonts w:ascii="Arial" w:hAnsi="Arial" w:cs="Arial"/>
          <w:b/>
          <w:sz w:val="24"/>
          <w:szCs w:val="24"/>
          <w:u w:val="single"/>
        </w:rPr>
        <w:t>ARTÍCULO 6°.-</w:t>
      </w:r>
      <w:r w:rsidRPr="00750A80">
        <w:rPr>
          <w:rFonts w:ascii="Arial" w:hAnsi="Arial" w:cs="Arial"/>
          <w:sz w:val="24"/>
          <w:szCs w:val="24"/>
        </w:rPr>
        <w:t xml:space="preserve"> </w:t>
      </w:r>
      <w:r w:rsidRPr="00750A80">
        <w:rPr>
          <w:rFonts w:ascii="Arial" w:hAnsi="Arial" w:cs="Arial"/>
          <w:b/>
          <w:sz w:val="24"/>
          <w:szCs w:val="24"/>
        </w:rPr>
        <w:t>Campañas de difusión.</w:t>
      </w:r>
      <w:r w:rsidRPr="00750A80">
        <w:rPr>
          <w:rFonts w:ascii="Arial" w:hAnsi="Arial" w:cs="Arial"/>
          <w:sz w:val="24"/>
          <w:szCs w:val="24"/>
        </w:rPr>
        <w:t xml:space="preserve"> La autoridad de aplicación debe difundir los alcances y beneficios de la presente; así como promover el consumo de agua segura de red; y, los beneficios asociados a ella a través de camp</w:t>
      </w:r>
      <w:r>
        <w:rPr>
          <w:rFonts w:ascii="Arial" w:hAnsi="Arial" w:cs="Arial"/>
          <w:sz w:val="24"/>
          <w:szCs w:val="24"/>
        </w:rPr>
        <w:t>añas gráficas y audiovisuales.</w:t>
      </w:r>
    </w:p>
    <w:p w:rsidR="00750A80" w:rsidRPr="00750A80" w:rsidRDefault="00750A80" w:rsidP="00750A80">
      <w:pPr>
        <w:tabs>
          <w:tab w:val="left" w:pos="9639"/>
        </w:tabs>
        <w:spacing w:after="0" w:line="240" w:lineRule="auto"/>
        <w:jc w:val="both"/>
        <w:rPr>
          <w:rFonts w:ascii="Arial" w:hAnsi="Arial" w:cs="Arial"/>
          <w:sz w:val="24"/>
          <w:szCs w:val="24"/>
        </w:rPr>
      </w:pPr>
    </w:p>
    <w:p w:rsidR="00750A80" w:rsidRPr="00750A80" w:rsidRDefault="00750A80" w:rsidP="00750A80">
      <w:pPr>
        <w:tabs>
          <w:tab w:val="left" w:pos="9639"/>
        </w:tabs>
        <w:spacing w:after="0" w:line="240" w:lineRule="auto"/>
        <w:jc w:val="both"/>
        <w:rPr>
          <w:rFonts w:ascii="Arial" w:hAnsi="Arial" w:cs="Arial"/>
          <w:sz w:val="24"/>
          <w:szCs w:val="24"/>
        </w:rPr>
      </w:pPr>
      <w:r w:rsidRPr="00750A80">
        <w:rPr>
          <w:rFonts w:ascii="Arial" w:hAnsi="Arial" w:cs="Arial"/>
          <w:b/>
          <w:sz w:val="24"/>
          <w:szCs w:val="24"/>
          <w:u w:val="single"/>
        </w:rPr>
        <w:t>ARTÍCULO 7°.-</w:t>
      </w:r>
      <w:r w:rsidRPr="00750A80">
        <w:rPr>
          <w:rFonts w:ascii="Arial" w:hAnsi="Arial" w:cs="Arial"/>
          <w:sz w:val="24"/>
          <w:szCs w:val="24"/>
        </w:rPr>
        <w:t xml:space="preserve"> </w:t>
      </w:r>
      <w:r w:rsidRPr="00750A80">
        <w:rPr>
          <w:rFonts w:ascii="Arial" w:hAnsi="Arial" w:cs="Arial"/>
          <w:b/>
          <w:sz w:val="24"/>
          <w:szCs w:val="24"/>
        </w:rPr>
        <w:t>Reglamentación.</w:t>
      </w:r>
      <w:r w:rsidRPr="00750A80">
        <w:rPr>
          <w:rFonts w:ascii="Arial" w:hAnsi="Arial" w:cs="Arial"/>
          <w:sz w:val="24"/>
          <w:szCs w:val="24"/>
        </w:rPr>
        <w:t xml:space="preserve"> El Poder Ejecutivo reglamentará la presente en el término de noventa (90) días</w:t>
      </w:r>
      <w:r>
        <w:rPr>
          <w:rFonts w:ascii="Arial" w:hAnsi="Arial" w:cs="Arial"/>
          <w:sz w:val="24"/>
          <w:szCs w:val="24"/>
        </w:rPr>
        <w:t>, a partir de su promulgación.</w:t>
      </w:r>
    </w:p>
    <w:p w:rsidR="00750A80" w:rsidRPr="003255FD" w:rsidRDefault="00750A80" w:rsidP="003255FD">
      <w:pPr>
        <w:spacing w:after="0" w:line="240" w:lineRule="auto"/>
        <w:jc w:val="both"/>
        <w:rPr>
          <w:rFonts w:ascii="Arial" w:hAnsi="Arial"/>
          <w:b/>
          <w:sz w:val="24"/>
          <w:szCs w:val="24"/>
          <w:u w:val="single"/>
        </w:rPr>
      </w:pPr>
    </w:p>
    <w:p w:rsidR="00750A80" w:rsidRPr="003255FD" w:rsidRDefault="00750A80" w:rsidP="003255FD">
      <w:pPr>
        <w:spacing w:after="0" w:line="240" w:lineRule="auto"/>
        <w:jc w:val="both"/>
        <w:rPr>
          <w:rFonts w:ascii="Arial" w:hAnsi="Arial"/>
          <w:sz w:val="24"/>
          <w:szCs w:val="24"/>
          <w:u w:val="single"/>
        </w:rPr>
      </w:pPr>
      <w:r w:rsidRPr="003255FD">
        <w:rPr>
          <w:rFonts w:ascii="Arial" w:hAnsi="Arial"/>
          <w:b/>
          <w:sz w:val="24"/>
          <w:szCs w:val="24"/>
          <w:u w:val="single"/>
        </w:rPr>
        <w:lastRenderedPageBreak/>
        <w:t xml:space="preserve">ARTICULO </w:t>
      </w:r>
      <w:r>
        <w:rPr>
          <w:rFonts w:ascii="Arial" w:hAnsi="Arial"/>
          <w:b/>
          <w:sz w:val="24"/>
          <w:szCs w:val="24"/>
          <w:u w:val="single"/>
        </w:rPr>
        <w:t>8</w:t>
      </w:r>
      <w:r w:rsidRPr="003255FD">
        <w:rPr>
          <w:rFonts w:ascii="Arial" w:hAnsi="Arial"/>
          <w:b/>
          <w:sz w:val="24"/>
          <w:szCs w:val="24"/>
          <w:u w:val="single"/>
        </w:rPr>
        <w:t>°.-</w:t>
      </w:r>
      <w:r w:rsidRPr="003255FD">
        <w:rPr>
          <w:rFonts w:ascii="Arial" w:hAnsi="Arial"/>
          <w:sz w:val="24"/>
          <w:szCs w:val="24"/>
        </w:rPr>
        <w:t xml:space="preserve"> Comuníquese, etcétera.</w:t>
      </w:r>
    </w:p>
    <w:p w:rsidR="00750A80" w:rsidRPr="003255FD" w:rsidRDefault="00750A80" w:rsidP="003255FD">
      <w:pPr>
        <w:spacing w:after="0" w:line="240" w:lineRule="auto"/>
        <w:rPr>
          <w:rFonts w:ascii="Arial" w:hAnsi="Arial"/>
          <w:sz w:val="24"/>
          <w:szCs w:val="24"/>
        </w:rPr>
      </w:pPr>
    </w:p>
    <w:p w:rsidR="00750A80" w:rsidRPr="003255FD" w:rsidRDefault="00750A80" w:rsidP="003255FD">
      <w:pPr>
        <w:spacing w:after="0" w:line="240" w:lineRule="auto"/>
        <w:jc w:val="both"/>
        <w:rPr>
          <w:rFonts w:ascii="Arial" w:hAnsi="Arial"/>
          <w:sz w:val="24"/>
          <w:szCs w:val="24"/>
        </w:rPr>
      </w:pPr>
    </w:p>
    <w:p w:rsidR="00750A80" w:rsidRPr="003255FD" w:rsidRDefault="00750A80" w:rsidP="003255FD">
      <w:pPr>
        <w:pStyle w:val="L1"/>
      </w:pPr>
      <w:r w:rsidRPr="003255FD">
        <w:t>PARANÁ, SALA DE SESIONES,</w:t>
      </w:r>
      <w:r>
        <w:t xml:space="preserve"> 16 de junio de </w:t>
      </w:r>
      <w:proofErr w:type="gramStart"/>
      <w:r>
        <w:t>2021</w:t>
      </w:r>
      <w:r w:rsidRPr="003255FD">
        <w:t xml:space="preserve"> .</w:t>
      </w:r>
      <w:proofErr w:type="gramEnd"/>
    </w:p>
    <w:p w:rsidR="00750A80" w:rsidRDefault="00750A80" w:rsidP="003255FD">
      <w:pPr>
        <w:spacing w:after="0" w:line="240" w:lineRule="auto"/>
        <w:jc w:val="both"/>
        <w:rPr>
          <w:rFonts w:ascii="Arial" w:hAnsi="Arial"/>
          <w:sz w:val="24"/>
          <w:szCs w:val="24"/>
        </w:rPr>
      </w:pPr>
    </w:p>
    <w:p w:rsidR="00170AB0" w:rsidRPr="003D187D" w:rsidRDefault="00170AB0" w:rsidP="00556EA4">
      <w:pPr>
        <w:spacing w:after="0" w:line="240" w:lineRule="auto"/>
        <w:jc w:val="both"/>
        <w:rPr>
          <w:rFonts w:ascii="Arial" w:hAnsi="Arial" w:cs="Arial"/>
          <w:b/>
        </w:rPr>
      </w:pPr>
      <w:r w:rsidRPr="003D187D">
        <w:rPr>
          <w:rFonts w:ascii="Arial" w:hAnsi="Arial" w:cs="Arial"/>
          <w:b/>
        </w:rPr>
        <w:t xml:space="preserve">            </w:t>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Daniel Horacio OLANO</w:t>
      </w:r>
    </w:p>
    <w:p w:rsidR="00170AB0" w:rsidRPr="003D187D" w:rsidRDefault="00170AB0"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Vicepresidente 1º H. C. de Senadores</w:t>
      </w:r>
    </w:p>
    <w:p w:rsidR="00170AB0" w:rsidRPr="003D187D" w:rsidRDefault="00170AB0"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w:t>
      </w:r>
      <w:proofErr w:type="gramStart"/>
      <w:r w:rsidRPr="003D187D">
        <w:rPr>
          <w:rFonts w:ascii="Arial" w:hAnsi="Arial" w:cs="Arial"/>
          <w:b/>
        </w:rPr>
        <w:t>a/c</w:t>
      </w:r>
      <w:proofErr w:type="gramEnd"/>
      <w:r w:rsidRPr="003D187D">
        <w:rPr>
          <w:rFonts w:ascii="Arial" w:hAnsi="Arial" w:cs="Arial"/>
          <w:b/>
        </w:rPr>
        <w:t xml:space="preserve"> de la Presidencia</w:t>
      </w:r>
    </w:p>
    <w:p w:rsidR="00170AB0" w:rsidRDefault="00170AB0" w:rsidP="00556EA4">
      <w:pPr>
        <w:spacing w:after="0" w:line="240" w:lineRule="auto"/>
        <w:jc w:val="both"/>
        <w:rPr>
          <w:rFonts w:ascii="Arial" w:hAnsi="Arial" w:cs="Arial"/>
          <w:b/>
        </w:rPr>
      </w:pPr>
    </w:p>
    <w:p w:rsidR="00170AB0" w:rsidRPr="003D187D" w:rsidRDefault="00170AB0" w:rsidP="00556EA4">
      <w:pPr>
        <w:spacing w:after="0" w:line="240" w:lineRule="auto"/>
        <w:jc w:val="both"/>
        <w:rPr>
          <w:rFonts w:ascii="Arial" w:hAnsi="Arial" w:cs="Arial"/>
          <w:b/>
        </w:rPr>
      </w:pPr>
    </w:p>
    <w:p w:rsidR="00170AB0" w:rsidRPr="003D187D" w:rsidRDefault="00170AB0"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Lautaro SCHIAVONI</w:t>
      </w:r>
    </w:p>
    <w:p w:rsidR="00170AB0" w:rsidRPr="003D187D" w:rsidRDefault="00170AB0"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Pr>
          <w:rFonts w:ascii="Arial" w:hAnsi="Arial" w:cs="Arial"/>
          <w:b/>
        </w:rPr>
        <w:t xml:space="preserve">  </w:t>
      </w:r>
      <w:r w:rsidRPr="003D187D">
        <w:rPr>
          <w:rFonts w:ascii="Arial" w:hAnsi="Arial" w:cs="Arial"/>
          <w:b/>
        </w:rPr>
        <w:t>Secretario H. C. de Senadores</w:t>
      </w:r>
    </w:p>
    <w:p w:rsidR="00170AB0" w:rsidRPr="003D187D" w:rsidRDefault="00170AB0" w:rsidP="00556EA4">
      <w:pPr>
        <w:spacing w:after="0" w:line="240" w:lineRule="auto"/>
        <w:jc w:val="both"/>
        <w:rPr>
          <w:rFonts w:ascii="Arial" w:hAnsi="Arial" w:cs="Arial"/>
          <w:b/>
        </w:rPr>
      </w:pPr>
    </w:p>
    <w:p w:rsidR="00170AB0" w:rsidRPr="003D187D" w:rsidRDefault="00170AB0" w:rsidP="00556EA4">
      <w:pPr>
        <w:spacing w:after="0" w:line="240" w:lineRule="auto"/>
        <w:jc w:val="both"/>
        <w:rPr>
          <w:rFonts w:ascii="Arial" w:hAnsi="Arial" w:cs="Arial"/>
          <w:b/>
        </w:rPr>
      </w:pPr>
      <w:r w:rsidRPr="003D187D">
        <w:rPr>
          <w:rFonts w:ascii="Arial" w:hAnsi="Arial" w:cs="Arial"/>
          <w:b/>
        </w:rPr>
        <w:t>ES COPIA AUTENTICA</w:t>
      </w:r>
    </w:p>
    <w:p w:rsidR="00170AB0" w:rsidRPr="003D187D" w:rsidRDefault="00170AB0" w:rsidP="00556EA4">
      <w:pPr>
        <w:spacing w:after="0" w:line="240" w:lineRule="auto"/>
        <w:jc w:val="both"/>
        <w:rPr>
          <w:rFonts w:ascii="Arial" w:hAnsi="Arial" w:cs="Arial"/>
        </w:rPr>
      </w:pPr>
    </w:p>
    <w:p w:rsidR="00170AB0" w:rsidRPr="00EF580F" w:rsidRDefault="00170AB0" w:rsidP="00556EA4">
      <w:pPr>
        <w:spacing w:after="0" w:line="240" w:lineRule="auto"/>
        <w:rPr>
          <w:rFonts w:ascii="Times New Roman" w:hAnsi="Times New Roman"/>
        </w:rPr>
      </w:pPr>
    </w:p>
    <w:p w:rsidR="00170AB0" w:rsidRDefault="00170AB0" w:rsidP="00556EA4"/>
    <w:p w:rsidR="00170AB0" w:rsidRPr="00C123E0" w:rsidRDefault="00170AB0" w:rsidP="00C123E0"/>
    <w:p w:rsidR="00C650F6" w:rsidRDefault="00C650F6">
      <w:bookmarkStart w:id="0" w:name="_GoBack"/>
      <w:bookmarkEnd w:id="0"/>
    </w:p>
    <w:sectPr w:rsidR="00C650F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D9F" w:rsidRDefault="00876D9F" w:rsidP="00750A80">
      <w:pPr>
        <w:spacing w:after="0" w:line="240" w:lineRule="auto"/>
      </w:pPr>
      <w:r>
        <w:separator/>
      </w:r>
    </w:p>
  </w:endnote>
  <w:endnote w:type="continuationSeparator" w:id="0">
    <w:p w:rsidR="00876D9F" w:rsidRDefault="00876D9F" w:rsidP="00750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D9F" w:rsidRDefault="00876D9F" w:rsidP="00750A80">
      <w:pPr>
        <w:spacing w:after="0" w:line="240" w:lineRule="auto"/>
      </w:pPr>
      <w:r>
        <w:separator/>
      </w:r>
    </w:p>
  </w:footnote>
  <w:footnote w:type="continuationSeparator" w:id="0">
    <w:p w:rsidR="00876D9F" w:rsidRDefault="00876D9F" w:rsidP="00750A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80" w:rsidRPr="00750A80" w:rsidRDefault="00750A80" w:rsidP="00750A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80"/>
    <w:rsid w:val="000D0FA2"/>
    <w:rsid w:val="00154617"/>
    <w:rsid w:val="00167CF3"/>
    <w:rsid w:val="00170AB0"/>
    <w:rsid w:val="003616ED"/>
    <w:rsid w:val="00494050"/>
    <w:rsid w:val="005170F8"/>
    <w:rsid w:val="005F47C3"/>
    <w:rsid w:val="006752CF"/>
    <w:rsid w:val="00691A5F"/>
    <w:rsid w:val="006D286F"/>
    <w:rsid w:val="00750A80"/>
    <w:rsid w:val="00780C1B"/>
    <w:rsid w:val="007A17CC"/>
    <w:rsid w:val="007B3862"/>
    <w:rsid w:val="007C0266"/>
    <w:rsid w:val="0085238B"/>
    <w:rsid w:val="00876D9F"/>
    <w:rsid w:val="0091406C"/>
    <w:rsid w:val="00927C6E"/>
    <w:rsid w:val="009F655B"/>
    <w:rsid w:val="00A15CE2"/>
    <w:rsid w:val="00B31645"/>
    <w:rsid w:val="00B35C6A"/>
    <w:rsid w:val="00B41D76"/>
    <w:rsid w:val="00C650F6"/>
    <w:rsid w:val="00C870A9"/>
    <w:rsid w:val="00CB01FC"/>
    <w:rsid w:val="00CF5CC6"/>
    <w:rsid w:val="00D028EC"/>
    <w:rsid w:val="00D74047"/>
    <w:rsid w:val="00DF60F9"/>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E8022-7C34-418E-8443-442DE378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50A8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750A80"/>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750A80"/>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750A80"/>
    <w:rPr>
      <w:rFonts w:ascii="Arial" w:eastAsia="Times New Roman" w:hAnsi="Arial" w:cs="Arial"/>
      <w:b/>
      <w:sz w:val="24"/>
      <w:szCs w:val="24"/>
      <w:lang w:val="es-ES" w:eastAsia="es-ES"/>
    </w:rPr>
  </w:style>
  <w:style w:type="character" w:styleId="Nmerodepgina">
    <w:name w:val="page number"/>
    <w:basedOn w:val="Fuentedeprrafopredeter"/>
    <w:rsid w:val="00750A80"/>
  </w:style>
  <w:style w:type="paragraph" w:customStyle="1" w:styleId="L1">
    <w:name w:val="L1"/>
    <w:basedOn w:val="Encabezado"/>
    <w:autoRedefine/>
    <w:rsid w:val="00750A80"/>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750A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A80"/>
  </w:style>
  <w:style w:type="paragraph" w:styleId="Textodeglobo">
    <w:name w:val="Balloon Text"/>
    <w:basedOn w:val="Normal"/>
    <w:link w:val="TextodegloboCar"/>
    <w:uiPriority w:val="99"/>
    <w:semiHidden/>
    <w:unhideWhenUsed/>
    <w:rsid w:val="00170A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0A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465</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3</cp:revision>
  <cp:lastPrinted>2021-06-17T11:50:00Z</cp:lastPrinted>
  <dcterms:created xsi:type="dcterms:W3CDTF">2021-06-17T10:13:00Z</dcterms:created>
  <dcterms:modified xsi:type="dcterms:W3CDTF">2021-06-17T13:06:00Z</dcterms:modified>
</cp:coreProperties>
</file>