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Default="00BD21EB" w:rsidP="00A642F0">
      <w:pPr>
        <w:jc w:val="center"/>
      </w:pPr>
    </w:p>
    <w:p w:rsidR="00D307F3" w:rsidRPr="001B60E2" w:rsidRDefault="00D307F3" w:rsidP="00D307F3">
      <w:pPr>
        <w:pStyle w:val="Textoindependiente"/>
        <w:spacing w:line="360" w:lineRule="auto"/>
        <w:jc w:val="center"/>
        <w:rPr>
          <w:rFonts w:ascii="Times New Roman" w:hAnsi="Times New Roman" w:cs="Times New Roman"/>
          <w:spacing w:val="-6"/>
        </w:rPr>
      </w:pPr>
      <w:r w:rsidRPr="001B60E2">
        <w:rPr>
          <w:rFonts w:ascii="Times New Roman" w:hAnsi="Times New Roman" w:cs="Times New Roman"/>
          <w:spacing w:val="-6"/>
        </w:rPr>
        <w:t>LA LEGISLATURA DE LA PROVINCIA DE ENTRE RÍOS SANCIONA CON FUERZA DE</w:t>
      </w:r>
    </w:p>
    <w:p w:rsidR="00D307F3" w:rsidRDefault="00D307F3" w:rsidP="00D307F3">
      <w:pPr>
        <w:spacing w:line="360" w:lineRule="auto"/>
        <w:jc w:val="center"/>
        <w:rPr>
          <w:b/>
        </w:rPr>
      </w:pPr>
      <w:r w:rsidRPr="001B60E2">
        <w:rPr>
          <w:b/>
        </w:rPr>
        <w:t>L E Y:</w:t>
      </w:r>
    </w:p>
    <w:p w:rsidR="00B26D31" w:rsidRDefault="00B26D31" w:rsidP="00F6347E">
      <w:pPr>
        <w:shd w:val="clear" w:color="auto" w:fill="FFFFFF"/>
        <w:spacing w:after="0" w:line="336" w:lineRule="atLeast"/>
        <w:jc w:val="both"/>
        <w:textAlignment w:val="baseline"/>
        <w:rPr>
          <w:rFonts w:ascii="Arial" w:eastAsia="Times New Roman" w:hAnsi="Arial" w:cs="Arial"/>
          <w:b/>
          <w:bCs/>
          <w:sz w:val="24"/>
          <w:szCs w:val="24"/>
          <w:bdr w:val="none" w:sz="0" w:space="0" w:color="auto" w:frame="1"/>
          <w:lang w:eastAsia="es-AR"/>
        </w:rPr>
      </w:pPr>
    </w:p>
    <w:p w:rsidR="00E26D70" w:rsidRDefault="00E44DA2" w:rsidP="00E44DA2">
      <w:pPr>
        <w:spacing w:line="360" w:lineRule="auto"/>
        <w:jc w:val="both"/>
        <w:rPr>
          <w:rFonts w:ascii="Arial" w:hAnsi="Arial" w:cs="Arial"/>
          <w:sz w:val="24"/>
          <w:szCs w:val="24"/>
        </w:rPr>
      </w:pPr>
      <w:r w:rsidRPr="00F168FF">
        <w:rPr>
          <w:rFonts w:ascii="Arial" w:hAnsi="Arial" w:cs="Arial"/>
          <w:sz w:val="24"/>
          <w:szCs w:val="24"/>
        </w:rPr>
        <w:t>Artículo 1</w:t>
      </w:r>
      <w:r>
        <w:rPr>
          <w:rFonts w:ascii="Arial" w:hAnsi="Arial" w:cs="Arial"/>
          <w:sz w:val="24"/>
          <w:szCs w:val="24"/>
        </w:rPr>
        <w:t>°.-</w:t>
      </w:r>
      <w:r w:rsidRPr="00772D5C">
        <w:rPr>
          <w:rFonts w:ascii="Arial" w:hAnsi="Arial" w:cs="Arial"/>
          <w:sz w:val="24"/>
          <w:szCs w:val="24"/>
        </w:rPr>
        <w:t xml:space="preserve"> </w:t>
      </w:r>
      <w:r w:rsidR="00E26D70">
        <w:rPr>
          <w:rFonts w:ascii="Arial" w:hAnsi="Arial" w:cs="Arial"/>
          <w:sz w:val="24"/>
          <w:szCs w:val="24"/>
        </w:rPr>
        <w:t xml:space="preserve"> </w:t>
      </w:r>
      <w:r w:rsidR="00307338">
        <w:rPr>
          <w:rFonts w:ascii="Arial" w:hAnsi="Arial" w:cs="Arial"/>
          <w:sz w:val="24"/>
          <w:szCs w:val="24"/>
        </w:rPr>
        <w:t>Deróguese</w:t>
      </w:r>
      <w:r w:rsidR="00E26D70">
        <w:rPr>
          <w:rFonts w:ascii="Arial" w:hAnsi="Arial" w:cs="Arial"/>
          <w:sz w:val="24"/>
          <w:szCs w:val="24"/>
        </w:rPr>
        <w:t xml:space="preserve"> el artículo 60 del Código Procesal Penal de la provincia de Entre Ríos Ley n° 9754 con su reforma ley n° 10.317-. </w:t>
      </w:r>
    </w:p>
    <w:p w:rsidR="00E44DA2" w:rsidRDefault="00E44DA2" w:rsidP="00E44DA2">
      <w:pPr>
        <w:spacing w:line="360" w:lineRule="auto"/>
        <w:jc w:val="both"/>
        <w:rPr>
          <w:rFonts w:ascii="Arial" w:hAnsi="Arial" w:cs="Arial"/>
          <w:sz w:val="24"/>
          <w:szCs w:val="24"/>
        </w:rPr>
      </w:pPr>
      <w:r>
        <w:rPr>
          <w:rFonts w:ascii="Arial" w:hAnsi="Arial" w:cs="Arial"/>
          <w:sz w:val="24"/>
          <w:szCs w:val="24"/>
        </w:rPr>
        <w:t xml:space="preserve">Artículo </w:t>
      </w:r>
      <w:r w:rsidR="00307338">
        <w:rPr>
          <w:rFonts w:ascii="Arial" w:hAnsi="Arial" w:cs="Arial"/>
          <w:sz w:val="24"/>
          <w:szCs w:val="24"/>
        </w:rPr>
        <w:t>2</w:t>
      </w:r>
      <w:r>
        <w:rPr>
          <w:rFonts w:ascii="Arial" w:hAnsi="Arial" w:cs="Arial"/>
          <w:sz w:val="24"/>
          <w:szCs w:val="24"/>
        </w:rPr>
        <w:t>°.- De forma.</w:t>
      </w: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bookmarkStart w:id="0" w:name="_GoBack"/>
      <w:bookmarkEnd w:id="0"/>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Default="00852872" w:rsidP="00E44DA2">
      <w:pPr>
        <w:spacing w:line="360" w:lineRule="auto"/>
        <w:jc w:val="both"/>
        <w:rPr>
          <w:rFonts w:ascii="Arial" w:hAnsi="Arial" w:cs="Arial"/>
          <w:sz w:val="24"/>
          <w:szCs w:val="24"/>
        </w:rPr>
      </w:pPr>
    </w:p>
    <w:p w:rsidR="00852872" w:rsidRPr="00F168FF" w:rsidRDefault="00852872" w:rsidP="00E44DA2">
      <w:pPr>
        <w:spacing w:line="360" w:lineRule="auto"/>
        <w:jc w:val="both"/>
        <w:rPr>
          <w:rFonts w:ascii="Arial" w:hAnsi="Arial" w:cs="Arial"/>
          <w:sz w:val="24"/>
          <w:szCs w:val="24"/>
        </w:rPr>
      </w:pPr>
    </w:p>
    <w:p w:rsidR="00B26D31" w:rsidRPr="006203EB" w:rsidRDefault="006203EB" w:rsidP="006203EB">
      <w:pPr>
        <w:shd w:val="clear" w:color="auto" w:fill="FFFFFF"/>
        <w:spacing w:after="150" w:line="360" w:lineRule="auto"/>
        <w:jc w:val="center"/>
        <w:rPr>
          <w:rFonts w:ascii="Arial" w:eastAsia="Times New Roman" w:hAnsi="Arial" w:cs="Arial"/>
          <w:b/>
          <w:sz w:val="24"/>
          <w:szCs w:val="24"/>
          <w:u w:val="single"/>
          <w:bdr w:val="none" w:sz="0" w:space="0" w:color="auto" w:frame="1"/>
          <w:lang w:eastAsia="es-AR"/>
        </w:rPr>
      </w:pPr>
      <w:r w:rsidRPr="006203EB">
        <w:rPr>
          <w:rFonts w:ascii="Arial" w:eastAsia="Times New Roman" w:hAnsi="Arial" w:cs="Arial"/>
          <w:b/>
          <w:sz w:val="24"/>
          <w:szCs w:val="24"/>
          <w:u w:val="single"/>
          <w:lang w:eastAsia="es-ES"/>
        </w:rPr>
        <w:lastRenderedPageBreak/>
        <w:t>FUNDAMENTOS</w:t>
      </w: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Default="00E26D70" w:rsidP="00E26D70">
      <w:pPr>
        <w:shd w:val="clear" w:color="auto" w:fill="FFFFFF"/>
        <w:spacing w:after="0" w:line="360" w:lineRule="auto"/>
        <w:jc w:val="both"/>
        <w:textAlignment w:val="baseline"/>
        <w:rPr>
          <w:rFonts w:ascii="Arial" w:hAnsi="Arial" w:cs="Arial"/>
          <w:sz w:val="24"/>
          <w:szCs w:val="24"/>
        </w:rPr>
      </w:pPr>
      <w:r>
        <w:rPr>
          <w:rFonts w:ascii="Arial" w:eastAsia="Times New Roman" w:hAnsi="Arial" w:cs="Arial"/>
          <w:sz w:val="24"/>
          <w:szCs w:val="24"/>
          <w:bdr w:val="none" w:sz="0" w:space="0" w:color="auto" w:frame="1"/>
          <w:lang w:eastAsia="es-AR"/>
        </w:rPr>
        <w:t xml:space="preserve">En la actualidad rige en materia de recusaciones de fiscales dos normas que se contradicen entre sí, por un lado la que surge de la ley 10.407, orgánica del Ministerio Público, que en las disposiciones específicas del Ministerio Pública fiscal, en su artículo 35, prevé </w:t>
      </w:r>
      <w:r w:rsidRPr="00E26D70">
        <w:rPr>
          <w:rFonts w:ascii="Arial" w:eastAsia="Times New Roman" w:hAnsi="Arial" w:cs="Arial"/>
          <w:sz w:val="24"/>
          <w:szCs w:val="24"/>
          <w:bdr w:val="none" w:sz="0" w:space="0" w:color="auto" w:frame="1"/>
          <w:lang w:eastAsia="es-AR"/>
        </w:rPr>
        <w:t>“</w:t>
      </w:r>
      <w:r w:rsidRPr="00E26D70">
        <w:rPr>
          <w:rFonts w:ascii="Arial" w:hAnsi="Arial" w:cs="Arial"/>
          <w:sz w:val="24"/>
          <w:szCs w:val="24"/>
        </w:rPr>
        <w:t>Los miembros del Ministerio Público Fiscal sólo podrán excusarse o ser recusados en los casos previstos en la legislación procesal vigente, siempre que exista una grave afectación del principio de objetividad. El apartamiento será resuelto por el Fiscal General de Coordinación o el Procurador General, según el caso.”</w:t>
      </w:r>
      <w:r>
        <w:rPr>
          <w:rFonts w:ascii="Arial" w:hAnsi="Arial" w:cs="Arial"/>
          <w:sz w:val="24"/>
          <w:szCs w:val="24"/>
        </w:rPr>
        <w:t xml:space="preserve"> Dicha norma fue sancionada por esta legislatura el 1 de diciembre de 2015. </w:t>
      </w:r>
    </w:p>
    <w:p w:rsidR="00E26D70" w:rsidRDefault="00E26D70" w:rsidP="00E26D70">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Contrariamente a lo manifestado en el párrafo anterior, el actual Código Procesal Penal de nuestra provincia, publicado en el Boletín oficial el 9 de enero de 2007, establece en su artículo 60° que “Los miembros de Ministerio Público Fiscal deberán inhibirse y podrán ser recusados por los mismo motivos establecidos respecto a los jueces. La recusación, en caso de no ser aceptada, será resuelta en audiencia única por el Tribunal de Juicio ante el cual actúe, el funcionario recusado; y durante la Investigación Penal Preparatoria, por el Juez de Garantías. El trámite se regirá por las disposiciones de la recusación de los jueces en cuanto sea compatible. Mientras dura el trámite de recusación, el Ministerio Público, podrá en caso de necesidad, sustituir provisoriamente al Fiscal actuante para evitar las demoras o suspensiones consecuentes” </w:t>
      </w:r>
    </w:p>
    <w:p w:rsidR="00E26D70" w:rsidRDefault="00E26D70" w:rsidP="00E26D70">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Esta contradicción normativa, derivó en resoluciones judiciales contradictorias, siendo algunas las que hicieron prevalecer la ley orgánica del MPF, y otros lo establecido por el código de rito.</w:t>
      </w:r>
    </w:p>
    <w:p w:rsidR="00E26D70" w:rsidRDefault="00E26D70" w:rsidP="00E26D70">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Independientemente de posibles técnicas interpretativas, como ley posterior deroga ley anterior, o que la ley especial desplaza a la general  consideramos necesario despejar estas dudas, evitando fallos contradictorios, que por un lado </w:t>
      </w:r>
      <w:r>
        <w:rPr>
          <w:rFonts w:ascii="Arial" w:hAnsi="Arial" w:cs="Arial"/>
          <w:sz w:val="24"/>
          <w:szCs w:val="24"/>
        </w:rPr>
        <w:lastRenderedPageBreak/>
        <w:t>vayan en contra de las garantías constitucionales y resientan la autonomía del Ministerio Público Fiscal, por lo que entre las dos alternativas posibles, consideramos que es la adecuada preservar lo previsto en la ley orgánica, derogándose así el actual art. 60 del Código Procesal.</w:t>
      </w:r>
    </w:p>
    <w:p w:rsidR="00E26D70" w:rsidRDefault="00E26D70" w:rsidP="00E26D70">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En el caso de no compartirse este criterio, por los mismos fundamentos, se debería derogar el artículo 35° de la ley del Ministerio Público Fiscal. </w:t>
      </w:r>
    </w:p>
    <w:p w:rsidR="00E26D70" w:rsidRPr="00E26D70" w:rsidRDefault="00E26D70" w:rsidP="00E26D70">
      <w:pPr>
        <w:shd w:val="clear" w:color="auto" w:fill="FFFFFF"/>
        <w:spacing w:after="0" w:line="360" w:lineRule="auto"/>
        <w:jc w:val="both"/>
        <w:textAlignment w:val="baseline"/>
        <w:rPr>
          <w:rFonts w:ascii="Arial" w:hAnsi="Arial" w:cs="Arial"/>
          <w:sz w:val="24"/>
          <w:szCs w:val="24"/>
        </w:rPr>
      </w:pPr>
    </w:p>
    <w:p w:rsidR="00E26D70" w:rsidRPr="00E26D70" w:rsidRDefault="00E26D70" w:rsidP="00E26D70">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D7721" w:rsidRDefault="002D7721" w:rsidP="003A34F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7AC62D45" wp14:editId="1FC3ADA6">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7E6" w:rsidRDefault="00AB67E6" w:rsidP="00DF78C2">
      <w:pPr>
        <w:spacing w:after="0" w:line="240" w:lineRule="auto"/>
      </w:pPr>
      <w:r>
        <w:separator/>
      </w:r>
    </w:p>
  </w:endnote>
  <w:endnote w:type="continuationSeparator" w:id="0">
    <w:p w:rsidR="00AB67E6" w:rsidRDefault="00AB67E6"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7E6" w:rsidRDefault="00AB67E6" w:rsidP="00DF78C2">
      <w:pPr>
        <w:spacing w:after="0" w:line="240" w:lineRule="auto"/>
      </w:pPr>
      <w:r>
        <w:separator/>
      </w:r>
    </w:p>
  </w:footnote>
  <w:footnote w:type="continuationSeparator" w:id="0">
    <w:p w:rsidR="00AB67E6" w:rsidRDefault="00AB67E6"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A7F4A"/>
    <w:rsid w:val="000B5341"/>
    <w:rsid w:val="000C0F11"/>
    <w:rsid w:val="000D6593"/>
    <w:rsid w:val="001C123E"/>
    <w:rsid w:val="001D1A0E"/>
    <w:rsid w:val="001E790E"/>
    <w:rsid w:val="00244D66"/>
    <w:rsid w:val="00247A1D"/>
    <w:rsid w:val="00282323"/>
    <w:rsid w:val="00295016"/>
    <w:rsid w:val="002B2AC9"/>
    <w:rsid w:val="002B65AF"/>
    <w:rsid w:val="002C3526"/>
    <w:rsid w:val="002D7721"/>
    <w:rsid w:val="002E2E7E"/>
    <w:rsid w:val="00306C39"/>
    <w:rsid w:val="00307338"/>
    <w:rsid w:val="003569D9"/>
    <w:rsid w:val="00360094"/>
    <w:rsid w:val="003A34F1"/>
    <w:rsid w:val="003D4411"/>
    <w:rsid w:val="00402356"/>
    <w:rsid w:val="00427DA7"/>
    <w:rsid w:val="00493875"/>
    <w:rsid w:val="004D11F1"/>
    <w:rsid w:val="004E2A00"/>
    <w:rsid w:val="004F34D4"/>
    <w:rsid w:val="005040EE"/>
    <w:rsid w:val="005B036E"/>
    <w:rsid w:val="006203EB"/>
    <w:rsid w:val="00651AD8"/>
    <w:rsid w:val="0065577F"/>
    <w:rsid w:val="00673E38"/>
    <w:rsid w:val="006C72C3"/>
    <w:rsid w:val="0070009D"/>
    <w:rsid w:val="00703330"/>
    <w:rsid w:val="00744B9C"/>
    <w:rsid w:val="00746C2D"/>
    <w:rsid w:val="00776824"/>
    <w:rsid w:val="00790735"/>
    <w:rsid w:val="007921DF"/>
    <w:rsid w:val="007B77E6"/>
    <w:rsid w:val="007E5010"/>
    <w:rsid w:val="008159C2"/>
    <w:rsid w:val="008225F9"/>
    <w:rsid w:val="00831455"/>
    <w:rsid w:val="008378A7"/>
    <w:rsid w:val="00852872"/>
    <w:rsid w:val="008B13DB"/>
    <w:rsid w:val="00942CF8"/>
    <w:rsid w:val="00956E4D"/>
    <w:rsid w:val="00971E8D"/>
    <w:rsid w:val="00995495"/>
    <w:rsid w:val="009C2395"/>
    <w:rsid w:val="00A27DC3"/>
    <w:rsid w:val="00A642F0"/>
    <w:rsid w:val="00A979A6"/>
    <w:rsid w:val="00AB67E6"/>
    <w:rsid w:val="00AE5963"/>
    <w:rsid w:val="00AE5B48"/>
    <w:rsid w:val="00B03EE5"/>
    <w:rsid w:val="00B21434"/>
    <w:rsid w:val="00B26D31"/>
    <w:rsid w:val="00B65AA4"/>
    <w:rsid w:val="00BB1B92"/>
    <w:rsid w:val="00BC3A05"/>
    <w:rsid w:val="00BD21EB"/>
    <w:rsid w:val="00BD290A"/>
    <w:rsid w:val="00BF0974"/>
    <w:rsid w:val="00BF73B5"/>
    <w:rsid w:val="00C07FBD"/>
    <w:rsid w:val="00C455B0"/>
    <w:rsid w:val="00C72565"/>
    <w:rsid w:val="00C77A41"/>
    <w:rsid w:val="00CA3E2B"/>
    <w:rsid w:val="00D15766"/>
    <w:rsid w:val="00D2732B"/>
    <w:rsid w:val="00D307F3"/>
    <w:rsid w:val="00D81520"/>
    <w:rsid w:val="00D830B4"/>
    <w:rsid w:val="00DC1190"/>
    <w:rsid w:val="00DD3C45"/>
    <w:rsid w:val="00DE6067"/>
    <w:rsid w:val="00DF5493"/>
    <w:rsid w:val="00DF78C2"/>
    <w:rsid w:val="00E26D70"/>
    <w:rsid w:val="00E4051B"/>
    <w:rsid w:val="00E44DA2"/>
    <w:rsid w:val="00E76826"/>
    <w:rsid w:val="00EE79CF"/>
    <w:rsid w:val="00F2558A"/>
    <w:rsid w:val="00F51D2C"/>
    <w:rsid w:val="00F6347E"/>
    <w:rsid w:val="00FB0DE2"/>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31752F-BD2C-4121-B223-1F3F41DB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B777F-00EB-4E3C-8914-BDFB23CD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4</cp:revision>
  <cp:lastPrinted>2021-02-22T22:42:00Z</cp:lastPrinted>
  <dcterms:created xsi:type="dcterms:W3CDTF">2021-02-22T19:17:00Z</dcterms:created>
  <dcterms:modified xsi:type="dcterms:W3CDTF">2021-02-22T22:42:00Z</dcterms:modified>
</cp:coreProperties>
</file>