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BF5" w:rsidRDefault="00173BF5" w:rsidP="00111470">
      <w:pPr>
        <w:spacing w:after="0" w:line="288" w:lineRule="auto"/>
        <w:jc w:val="center"/>
        <w:rPr>
          <w:rFonts w:ascii="Century Gothic" w:hAnsi="Century Gothic"/>
          <w:b/>
          <w:spacing w:val="20"/>
        </w:rPr>
      </w:pP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 xml:space="preserve">Fundamentos </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 xml:space="preserve">Honorable Cámara: </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Tenemos el agrado</w:t>
      </w:r>
      <w:r w:rsidRPr="00111470">
        <w:rPr>
          <w:rFonts w:ascii="Century Gothic" w:hAnsi="Century Gothic"/>
          <w:b/>
          <w:color w:val="00B050"/>
          <w:spacing w:val="20"/>
        </w:rPr>
        <w:t xml:space="preserve"> </w:t>
      </w:r>
      <w:r w:rsidRPr="00111470">
        <w:rPr>
          <w:rFonts w:ascii="Century Gothic" w:hAnsi="Century Gothic"/>
          <w:spacing w:val="20"/>
        </w:rPr>
        <w:t>de dirigirnos a Usted, y por su intermedio a los miembros de ese Cuerpo, a fin de presentar ante la Cámara que preside, para su tratamiento, consideración y posterior sanción, el Proyecto de Ley que se adjunta, por el cual se impulsa en  la Provincia de ENTRE RIOS, la aplicación de  la “Unidad de Vivienda” (UVI) como marco de referencia para la Determinación de los Precios en los Contratos de Obra Pública, destinados a la Construcción de Viviendas, Obras de Infraestructura y Obras Complementarias,  para Programas Habitacionales Financiados por el Estado Provincial, a través del INSTITUTO AUTARQUICO PROVINCIAL DE PLANEAMIENTO Y VIVIENDA.</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 xml:space="preserve"> La aplicación de  la “Unidad de Vivienda” (UVI), ya fue establecida  por la ley Provincial Nº10.556 sancionada el 2 de diciembre de 2017, </w:t>
      </w:r>
      <w:r w:rsidRPr="00111470">
        <w:rPr>
          <w:rFonts w:ascii="Century Gothic" w:eastAsia="Times New Roman" w:hAnsi="Century Gothic" w:cs="Times New Roman"/>
          <w:bCs/>
          <w:color w:val="000000"/>
          <w:spacing w:val="20"/>
          <w:shd w:val="clear" w:color="auto" w:fill="FFFFFF" w:themeFill="background1"/>
        </w:rPr>
        <w:t>de Determinaciones de Precios en los Contratos de Obra Pública Destinados a Vivienda</w:t>
      </w:r>
      <w:r w:rsidRPr="00111470">
        <w:rPr>
          <w:rFonts w:ascii="Century Gothic" w:hAnsi="Century Gothic"/>
          <w:spacing w:val="20"/>
        </w:rPr>
        <w:t>,  para programas habitacionales financiados por el Estado Nacional</w:t>
      </w:r>
      <w:r w:rsidRPr="00111470">
        <w:rPr>
          <w:rFonts w:ascii="Century Gothic" w:eastAsia="Times New Roman" w:hAnsi="Century Gothic" w:cs="Times New Roman"/>
          <w:bCs/>
          <w:color w:val="000000"/>
          <w:spacing w:val="20"/>
          <w:shd w:val="clear" w:color="auto" w:fill="FFFFFF" w:themeFill="background1"/>
        </w:rPr>
        <w:t xml:space="preserve">. </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La ley que se pretende, tiene por objeto que,  la determinación de los precios de los contratos de obra pública destinados a la construcción de viviendas, obras de infraestructura, obras complementarias, de programas habitacionales financiados por el Estado Provincial a través del INSTITUTO AUTARQUICO DE PLANEAMIENTO Y VIVIENDA DE ENTRE RIOS, se efectúe de acuerdo al valor en pesos de la UVI, conforme lo establecido en la ya mencionada LEY Nº10556.</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Asimismo entiende,  sobre la necesidad y conveniencia de conciliar, el sistema Nacional –hoy normado por la ley Nacional Nº 27.397-, con el sistema provincial –parcialmente normado por la ley Provincial Nº 10.556- de actualización de precios de los contratos de Obra Pública, de vivienda, estableciéndose así una metodología armónica de ajuste de Precios.</w:t>
      </w:r>
    </w:p>
    <w:p w:rsidR="00CA0ADE" w:rsidRPr="00111470" w:rsidRDefault="00CA0ADE" w:rsidP="00CA0ADE">
      <w:pPr>
        <w:pStyle w:val="Default"/>
        <w:spacing w:line="288" w:lineRule="auto"/>
        <w:jc w:val="both"/>
        <w:rPr>
          <w:rFonts w:ascii="Century Gothic" w:hAnsi="Century Gothic"/>
          <w:color w:val="auto"/>
          <w:spacing w:val="20"/>
          <w:sz w:val="22"/>
          <w:szCs w:val="22"/>
        </w:rPr>
      </w:pPr>
      <w:r w:rsidRPr="00111470">
        <w:rPr>
          <w:rFonts w:ascii="Century Gothic" w:hAnsi="Century Gothic"/>
          <w:color w:val="auto"/>
          <w:spacing w:val="20"/>
          <w:sz w:val="22"/>
          <w:szCs w:val="22"/>
        </w:rPr>
        <w:t xml:space="preserve">El marcado deterioro del contexto macroeconómico del último lustro acentuado por los adversos efectos económicos de la pandemia con relación a la COVID-19, han afectado severamente el desenvolvimiento de </w:t>
      </w:r>
      <w:r w:rsidRPr="00111470">
        <w:rPr>
          <w:rFonts w:ascii="Century Gothic" w:hAnsi="Century Gothic"/>
          <w:color w:val="auto"/>
          <w:spacing w:val="20"/>
          <w:sz w:val="22"/>
          <w:szCs w:val="22"/>
        </w:rPr>
        <w:lastRenderedPageBreak/>
        <w:t xml:space="preserve">esta actividad económica lo cual ha dañado su potencial para incentivar el crecimiento de la economía, disminuir la pobreza vía la generación de puestos de trabajo en todo el territorio entrerriano y, sobre todo, ayudar a disminuir el déficit habitacional. </w:t>
      </w:r>
    </w:p>
    <w:p w:rsidR="00CA0ADE" w:rsidRPr="00111470" w:rsidRDefault="00CA0ADE" w:rsidP="00CA0ADE">
      <w:pPr>
        <w:pStyle w:val="Default"/>
        <w:spacing w:line="288" w:lineRule="auto"/>
        <w:jc w:val="both"/>
        <w:rPr>
          <w:rFonts w:ascii="Century Gothic" w:hAnsi="Century Gothic" w:cs="Arial"/>
          <w:color w:val="auto"/>
          <w:spacing w:val="20"/>
          <w:sz w:val="22"/>
          <w:szCs w:val="22"/>
        </w:rPr>
      </w:pPr>
      <w:r w:rsidRPr="00111470">
        <w:rPr>
          <w:rFonts w:ascii="Century Gothic" w:hAnsi="Century Gothic" w:cs="Arial"/>
          <w:color w:val="auto"/>
          <w:spacing w:val="20"/>
          <w:sz w:val="22"/>
          <w:szCs w:val="22"/>
        </w:rPr>
        <w:t xml:space="preserve">La presente medida está en línea con la tarea colectiva de construir un sendero de desarrollo económico con inclusión, recordando que La actividad de la construcción realiza un importante aporte al Producto Bruto Interno y a la generación de los puestos de trabajo, tanto por sus efectos directos como por su muy importante cadena de valor agregado, diversificada y distribuida en todo el territorio provincial. </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El actual contexto económico requiere de medidas excepcionales dirigidas a llevar tranquilidad a la economía y  paralelamente, ofrecer un puente al modelo de desarrollo de mediano y largo plazo propuesto por el gobierno de Entre Ríos.</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Se considera oportuno implementar una metodología que, contemplando las particulares características de la problemática provincial, permita restablecer el equilibrio de la ecuación económica- financiera de los contratos de obra pública de vivienda, celebrados bajo el régimen de la Ley N° 6351, ratificada por Ley N° 7495 y su Decreto Reglamentario N° 958/1979 SOYSP y toda otra normativa que rija la obra pública provincial de vivienda.</w:t>
      </w:r>
    </w:p>
    <w:p w:rsidR="00CA0ADE" w:rsidRPr="00111470" w:rsidRDefault="00CA0ADE" w:rsidP="00CA0ADE">
      <w:pPr>
        <w:spacing w:line="288" w:lineRule="auto"/>
        <w:jc w:val="both"/>
        <w:rPr>
          <w:rFonts w:ascii="Century Gothic" w:hAnsi="Century Gothic"/>
          <w:color w:val="00B050"/>
          <w:spacing w:val="20"/>
        </w:rPr>
      </w:pPr>
      <w:r w:rsidRPr="00111470">
        <w:rPr>
          <w:rFonts w:ascii="Century Gothic" w:hAnsi="Century Gothic"/>
          <w:spacing w:val="20"/>
        </w:rPr>
        <w:t>Asimismo se considera  necesario y conveniente armonizar</w:t>
      </w:r>
      <w:r w:rsidRPr="00111470">
        <w:rPr>
          <w:rFonts w:ascii="Century Gothic" w:hAnsi="Century Gothic"/>
          <w:b/>
          <w:spacing w:val="20"/>
        </w:rPr>
        <w:t>,</w:t>
      </w:r>
      <w:r w:rsidRPr="00111470">
        <w:rPr>
          <w:rFonts w:ascii="Century Gothic" w:hAnsi="Century Gothic"/>
          <w:spacing w:val="20"/>
        </w:rPr>
        <w:t xml:space="preserve">  el sistema de actualización  de Precios de los Contratos de Obra Pública para vivienda de la Administración Pública Nacional  al cual se adhirió por la ley Provincial Nº10.556, con la metodología de determinación de Precios para Contratos Obra Pública destinados a la construcción de viviendas, obras de infraestructura y obras complementarias, para programas habitacionales financiados por el Estado Provincial. </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El</w:t>
      </w:r>
      <w:r w:rsidRPr="00111470">
        <w:rPr>
          <w:rFonts w:ascii="Century Gothic" w:hAnsi="Century Gothic"/>
          <w:color w:val="00B050"/>
          <w:spacing w:val="20"/>
        </w:rPr>
        <w:t xml:space="preserve"> </w:t>
      </w:r>
      <w:r w:rsidRPr="00111470">
        <w:rPr>
          <w:rFonts w:ascii="Century Gothic" w:hAnsi="Century Gothic"/>
          <w:spacing w:val="20"/>
        </w:rPr>
        <w:t>establecimiento de  la Unidad de Vivienda (UVI) como marco de referencia para la determinación de precios de contratos de obra pública destinados a la construcción de viviendas, se consideró un importante logro para la obtención de  mayor eficacia y transparencia en los procesos.</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Aplicar idénticos fundamentos  de la  ley Nº10.556, a los contratos de obra pública destinados a la construcción de viviendas e infraestructura de interés social, financiados con fondos provinciales, sería un avance completo en post de  cumplir cabalmente, de manera ágil y transparente con un sistema de  adecuación de precios, cuyo fin primario  tiene por objeto el mantenimiento de la ecuación económica financiera de los Contratos de obra Pública de vivienda financiados con fondos del Estado Provincial.</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 xml:space="preserve">Se promueve la transparencia en el cálculo de las determinaciones de precios, la celeridad administrativa y el mantenimiento del equilibrio financiero de los contratos de obra pública destinados a vivienda. </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 xml:space="preserve">Es muy importante que la legislatura genere los instrumentos necesarios para sostener y acelerar este proceso de desarrollo de los créditos y de la obra pública asociada a la vivienda. </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En virtud de lo expresado, solicitamos respetuosamente por su intermedio a los Sres. Legisladores se le dé acompañamiento favorable a la presente iniciativa.</w:t>
      </w:r>
    </w:p>
    <w:p w:rsidR="00CA0ADE" w:rsidRPr="00111470" w:rsidRDefault="00CA0ADE" w:rsidP="00CA0ADE">
      <w:pPr>
        <w:spacing w:line="288" w:lineRule="auto"/>
        <w:jc w:val="both"/>
        <w:rPr>
          <w:rFonts w:ascii="Century Gothic" w:hAnsi="Century Gothic"/>
          <w:spacing w:val="20"/>
        </w:rPr>
      </w:pPr>
      <w:r w:rsidRPr="00111470">
        <w:rPr>
          <w:rFonts w:ascii="Century Gothic" w:hAnsi="Century Gothic"/>
          <w:spacing w:val="20"/>
        </w:rPr>
        <w:t xml:space="preserve">Sin otro particular, saludamos a Usted con la más distinguida consideración. </w:t>
      </w:r>
    </w:p>
    <w:p w:rsidR="00CA0ADE" w:rsidRPr="00111470" w:rsidRDefault="00CA0ADE" w:rsidP="00CA0ADE">
      <w:pPr>
        <w:spacing w:line="288" w:lineRule="auto"/>
        <w:rPr>
          <w:rFonts w:ascii="Century Gothic" w:hAnsi="Century Gothic"/>
          <w:spacing w:val="20"/>
        </w:rPr>
      </w:pPr>
    </w:p>
    <w:p w:rsidR="00084B6D" w:rsidRPr="00111470" w:rsidRDefault="00084B6D" w:rsidP="00CA0ADE">
      <w:pPr>
        <w:spacing w:after="0" w:line="288" w:lineRule="auto"/>
        <w:jc w:val="center"/>
        <w:rPr>
          <w:rFonts w:ascii="Century Gothic" w:hAnsi="Century Gothic"/>
          <w:spacing w:val="20"/>
        </w:rPr>
      </w:pPr>
      <w:bookmarkStart w:id="0" w:name="_GoBack"/>
      <w:bookmarkEnd w:id="0"/>
    </w:p>
    <w:sectPr w:rsidR="00084B6D" w:rsidRPr="00111470" w:rsidSect="00111470">
      <w:headerReference w:type="default" r:id="rId8"/>
      <w:pgSz w:w="11906" w:h="16838"/>
      <w:pgMar w:top="3402" w:right="680"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B6F" w:rsidRDefault="00B11B6F" w:rsidP="00111470">
      <w:pPr>
        <w:spacing w:after="0" w:line="240" w:lineRule="auto"/>
      </w:pPr>
      <w:r>
        <w:separator/>
      </w:r>
    </w:p>
  </w:endnote>
  <w:endnote w:type="continuationSeparator" w:id="0">
    <w:p w:rsidR="00B11B6F" w:rsidRDefault="00B11B6F" w:rsidP="0011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B6F" w:rsidRDefault="00B11B6F" w:rsidP="00111470">
      <w:pPr>
        <w:spacing w:after="0" w:line="240" w:lineRule="auto"/>
      </w:pPr>
      <w:r>
        <w:separator/>
      </w:r>
    </w:p>
  </w:footnote>
  <w:footnote w:type="continuationSeparator" w:id="0">
    <w:p w:rsidR="00B11B6F" w:rsidRDefault="00B11B6F" w:rsidP="00111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470" w:rsidRPr="00B22A6E" w:rsidRDefault="00111470" w:rsidP="00111470">
    <w:pPr>
      <w:pStyle w:val="Encabezado"/>
      <w:jc w:val="right"/>
      <w:rPr>
        <w:rFonts w:ascii="Century Gothic" w:hAnsi="Century Gothic" w:cs="Arial"/>
        <w:i/>
        <w:sz w:val="18"/>
        <w:szCs w:val="18"/>
      </w:rPr>
    </w:pPr>
    <w:r w:rsidRPr="00B22A6E">
      <w:rPr>
        <w:rFonts w:ascii="Century Gothic" w:hAnsi="Century Gothic" w:cs="Arial"/>
        <w:i/>
        <w:sz w:val="18"/>
        <w:szCs w:val="18"/>
      </w:rPr>
      <w:t>“2021-Año del Bicentenario de la Muerte del Caudillo Francisco Ramírez”</w:t>
    </w:r>
  </w:p>
  <w:p w:rsidR="00111470" w:rsidRDefault="00111470">
    <w:pPr>
      <w:pStyle w:val="Encabezado"/>
    </w:pPr>
  </w:p>
  <w:p w:rsidR="00111470" w:rsidRDefault="001114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52446"/>
    <w:multiLevelType w:val="hybridMultilevel"/>
    <w:tmpl w:val="ED2A15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31"/>
    <w:rsid w:val="00012052"/>
    <w:rsid w:val="00084B6D"/>
    <w:rsid w:val="000C7233"/>
    <w:rsid w:val="00111470"/>
    <w:rsid w:val="00125101"/>
    <w:rsid w:val="00173BF5"/>
    <w:rsid w:val="001B0B7B"/>
    <w:rsid w:val="001B36E0"/>
    <w:rsid w:val="00231339"/>
    <w:rsid w:val="00242F99"/>
    <w:rsid w:val="002F2AAA"/>
    <w:rsid w:val="00323A4B"/>
    <w:rsid w:val="003267D4"/>
    <w:rsid w:val="00384EB4"/>
    <w:rsid w:val="003B4369"/>
    <w:rsid w:val="003B66FD"/>
    <w:rsid w:val="00442731"/>
    <w:rsid w:val="004950DE"/>
    <w:rsid w:val="00585B13"/>
    <w:rsid w:val="005C3377"/>
    <w:rsid w:val="005C605A"/>
    <w:rsid w:val="00692992"/>
    <w:rsid w:val="006C3EC8"/>
    <w:rsid w:val="007820F0"/>
    <w:rsid w:val="00797E7C"/>
    <w:rsid w:val="007B5F03"/>
    <w:rsid w:val="00860BA1"/>
    <w:rsid w:val="00890A5F"/>
    <w:rsid w:val="009367B3"/>
    <w:rsid w:val="0096275D"/>
    <w:rsid w:val="00A1264B"/>
    <w:rsid w:val="00A1643A"/>
    <w:rsid w:val="00A42F25"/>
    <w:rsid w:val="00A97631"/>
    <w:rsid w:val="00B11B6F"/>
    <w:rsid w:val="00B227FA"/>
    <w:rsid w:val="00B8261E"/>
    <w:rsid w:val="00BD38C5"/>
    <w:rsid w:val="00C1170D"/>
    <w:rsid w:val="00C57CB4"/>
    <w:rsid w:val="00C57CF1"/>
    <w:rsid w:val="00C9346A"/>
    <w:rsid w:val="00CA0ADE"/>
    <w:rsid w:val="00EE6DF9"/>
    <w:rsid w:val="00F35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44677-93A5-4247-B486-EFCF1319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1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7CB4"/>
    <w:pPr>
      <w:ind w:left="720"/>
      <w:contextualSpacing/>
    </w:pPr>
  </w:style>
  <w:style w:type="paragraph" w:customStyle="1" w:styleId="Default">
    <w:name w:val="Default"/>
    <w:rsid w:val="00F35E4A"/>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1114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1470"/>
  </w:style>
  <w:style w:type="paragraph" w:styleId="Piedepgina">
    <w:name w:val="footer"/>
    <w:basedOn w:val="Normal"/>
    <w:link w:val="PiedepginaCar"/>
    <w:uiPriority w:val="99"/>
    <w:semiHidden/>
    <w:unhideWhenUsed/>
    <w:rsid w:val="001114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11470"/>
  </w:style>
  <w:style w:type="paragraph" w:styleId="Textodeglobo">
    <w:name w:val="Balloon Text"/>
    <w:basedOn w:val="Normal"/>
    <w:link w:val="TextodegloboCar"/>
    <w:uiPriority w:val="99"/>
    <w:semiHidden/>
    <w:unhideWhenUsed/>
    <w:rsid w:val="001114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C94A-5D7E-4426-9A23-43F5E6EA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4438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Senado</cp:lastModifiedBy>
  <cp:revision>2</cp:revision>
  <cp:lastPrinted>2021-07-29T15:32:00Z</cp:lastPrinted>
  <dcterms:created xsi:type="dcterms:W3CDTF">2021-08-26T12:34:00Z</dcterms:created>
  <dcterms:modified xsi:type="dcterms:W3CDTF">2021-08-26T12:34:00Z</dcterms:modified>
</cp:coreProperties>
</file>