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F5" w:rsidRDefault="00173BF5" w:rsidP="00111470">
      <w:pPr>
        <w:spacing w:after="0" w:line="288" w:lineRule="auto"/>
        <w:jc w:val="center"/>
        <w:rPr>
          <w:rFonts w:ascii="Century Gothic" w:hAnsi="Century Gothic"/>
          <w:b/>
          <w:spacing w:val="20"/>
        </w:rPr>
      </w:pPr>
    </w:p>
    <w:p w:rsidR="001B36E0" w:rsidRPr="00111470" w:rsidRDefault="001B36E0" w:rsidP="00111470">
      <w:pPr>
        <w:spacing w:after="0" w:line="288" w:lineRule="auto"/>
        <w:jc w:val="center"/>
        <w:rPr>
          <w:rFonts w:ascii="Century Gothic" w:hAnsi="Century Gothic"/>
          <w:b/>
          <w:spacing w:val="20"/>
        </w:rPr>
      </w:pPr>
      <w:r w:rsidRPr="00111470">
        <w:rPr>
          <w:rFonts w:ascii="Century Gothic" w:hAnsi="Century Gothic"/>
          <w:b/>
          <w:spacing w:val="20"/>
        </w:rPr>
        <w:t>LA LEGISLATURA DE LA PROVINCIA DE ENTRE RIOS</w:t>
      </w:r>
    </w:p>
    <w:p w:rsidR="001B36E0" w:rsidRPr="00111470" w:rsidRDefault="001B36E0" w:rsidP="00111470">
      <w:pPr>
        <w:spacing w:after="0" w:line="288" w:lineRule="auto"/>
        <w:jc w:val="center"/>
        <w:rPr>
          <w:rFonts w:ascii="Century Gothic" w:hAnsi="Century Gothic"/>
          <w:b/>
          <w:spacing w:val="20"/>
        </w:rPr>
      </w:pPr>
      <w:r w:rsidRPr="00111470">
        <w:rPr>
          <w:rFonts w:ascii="Century Gothic" w:hAnsi="Century Gothic"/>
          <w:b/>
          <w:spacing w:val="20"/>
        </w:rPr>
        <w:t>SANCIONA CON FUERZA DE</w:t>
      </w:r>
    </w:p>
    <w:p w:rsidR="001B36E0" w:rsidRPr="00111470" w:rsidRDefault="001B36E0" w:rsidP="00111470">
      <w:pPr>
        <w:spacing w:after="0" w:line="288" w:lineRule="auto"/>
        <w:jc w:val="center"/>
        <w:rPr>
          <w:rFonts w:ascii="Century Gothic" w:hAnsi="Century Gothic"/>
          <w:b/>
          <w:spacing w:val="20"/>
        </w:rPr>
      </w:pPr>
      <w:r w:rsidRPr="00111470">
        <w:rPr>
          <w:rFonts w:ascii="Century Gothic" w:hAnsi="Century Gothic"/>
          <w:b/>
          <w:spacing w:val="20"/>
        </w:rPr>
        <w:t>L E Y</w:t>
      </w:r>
      <w:r w:rsidR="00111470">
        <w:rPr>
          <w:rFonts w:ascii="Century Gothic" w:hAnsi="Century Gothic"/>
          <w:b/>
          <w:spacing w:val="20"/>
        </w:rPr>
        <w:t>:</w:t>
      </w:r>
    </w:p>
    <w:p w:rsidR="00111470" w:rsidRPr="00111470" w:rsidRDefault="00111470" w:rsidP="00111470">
      <w:pPr>
        <w:spacing w:after="0" w:line="288" w:lineRule="auto"/>
        <w:jc w:val="center"/>
        <w:rPr>
          <w:rFonts w:ascii="Century Gothic" w:hAnsi="Century Gothic"/>
          <w:b/>
          <w:spacing w:val="20"/>
        </w:rPr>
      </w:pPr>
    </w:p>
    <w:p w:rsidR="002F2AAA" w:rsidRDefault="001B36E0" w:rsidP="00111470">
      <w:pPr>
        <w:spacing w:after="0" w:line="288" w:lineRule="auto"/>
        <w:jc w:val="both"/>
        <w:rPr>
          <w:rFonts w:ascii="Century Gothic" w:hAnsi="Century Gothic"/>
          <w:spacing w:val="20"/>
        </w:rPr>
      </w:pPr>
      <w:r w:rsidRPr="00111470">
        <w:rPr>
          <w:rFonts w:ascii="Century Gothic" w:hAnsi="Century Gothic"/>
          <w:b/>
          <w:spacing w:val="20"/>
          <w:u w:val="single"/>
        </w:rPr>
        <w:t>Artículo 1º.-</w:t>
      </w:r>
      <w:r w:rsidRPr="00111470">
        <w:rPr>
          <w:rFonts w:ascii="Century Gothic" w:hAnsi="Century Gothic"/>
          <w:spacing w:val="20"/>
        </w:rPr>
        <w:t xml:space="preserve"> </w:t>
      </w:r>
      <w:r w:rsidR="007B5F03" w:rsidRPr="00111470">
        <w:rPr>
          <w:rFonts w:ascii="Century Gothic" w:hAnsi="Century Gothic"/>
          <w:spacing w:val="20"/>
        </w:rPr>
        <w:t xml:space="preserve">Aplíquese en  </w:t>
      </w:r>
      <w:r w:rsidRPr="00111470">
        <w:rPr>
          <w:rFonts w:ascii="Century Gothic" w:hAnsi="Century Gothic"/>
          <w:spacing w:val="20"/>
        </w:rPr>
        <w:t>la Provincia de ENTRE RIOS</w:t>
      </w:r>
      <w:r w:rsidR="002F2AAA" w:rsidRPr="00111470">
        <w:rPr>
          <w:rFonts w:ascii="Century Gothic" w:hAnsi="Century Gothic"/>
          <w:spacing w:val="20"/>
        </w:rPr>
        <w:t xml:space="preserve">, </w:t>
      </w:r>
      <w:r w:rsidRPr="00111470">
        <w:rPr>
          <w:rFonts w:ascii="Century Gothic" w:hAnsi="Century Gothic"/>
          <w:spacing w:val="20"/>
        </w:rPr>
        <w:t xml:space="preserve"> la “Unidad de Vivienda” (UVI)</w:t>
      </w:r>
      <w:r w:rsidR="00084B6D" w:rsidRPr="00111470">
        <w:rPr>
          <w:rFonts w:ascii="Century Gothic" w:hAnsi="Century Gothic"/>
          <w:spacing w:val="20"/>
        </w:rPr>
        <w:t xml:space="preserve">, </w:t>
      </w:r>
      <w:r w:rsidRPr="00111470">
        <w:rPr>
          <w:rFonts w:ascii="Century Gothic" w:hAnsi="Century Gothic"/>
          <w:spacing w:val="20"/>
        </w:rPr>
        <w:t xml:space="preserve"> </w:t>
      </w:r>
      <w:r w:rsidR="005C605A" w:rsidRPr="00111470">
        <w:rPr>
          <w:rFonts w:ascii="Century Gothic" w:hAnsi="Century Gothic"/>
          <w:spacing w:val="20"/>
        </w:rPr>
        <w:t xml:space="preserve">conforme lo dispuesto por la ley Nacional Nº </w:t>
      </w:r>
      <w:r w:rsidR="00084B6D" w:rsidRPr="00111470">
        <w:rPr>
          <w:rFonts w:ascii="Century Gothic" w:hAnsi="Century Gothic"/>
          <w:spacing w:val="20"/>
        </w:rPr>
        <w:t>27.397</w:t>
      </w:r>
      <w:r w:rsidR="00B227FA" w:rsidRPr="00111470">
        <w:rPr>
          <w:rFonts w:ascii="Century Gothic" w:hAnsi="Century Gothic"/>
          <w:spacing w:val="20"/>
        </w:rPr>
        <w:t xml:space="preserve"> y ley Provincial Nº 10.556, </w:t>
      </w:r>
      <w:r w:rsidRPr="00111470">
        <w:rPr>
          <w:rFonts w:ascii="Century Gothic" w:hAnsi="Century Gothic"/>
          <w:spacing w:val="20"/>
        </w:rPr>
        <w:t>como marco de referencia para la determinación de los precios en los contratos de Obra Pública, destinados a la construcción de viviendas</w:t>
      </w:r>
      <w:r w:rsidR="002F2AAA" w:rsidRPr="00111470">
        <w:rPr>
          <w:rFonts w:ascii="Century Gothic" w:hAnsi="Century Gothic"/>
          <w:spacing w:val="20"/>
        </w:rPr>
        <w:t xml:space="preserve">, obras de infraestructura y obras complementarias, </w:t>
      </w:r>
      <w:r w:rsidR="007B5F03" w:rsidRPr="00111470">
        <w:rPr>
          <w:rFonts w:ascii="Century Gothic" w:hAnsi="Century Gothic"/>
          <w:spacing w:val="20"/>
        </w:rPr>
        <w:t xml:space="preserve"> </w:t>
      </w:r>
      <w:r w:rsidRPr="00111470">
        <w:rPr>
          <w:rFonts w:ascii="Century Gothic" w:hAnsi="Century Gothic"/>
          <w:spacing w:val="20"/>
        </w:rPr>
        <w:t>para programas habitacionales financiados por el Estado Provincial</w:t>
      </w:r>
      <w:r w:rsidR="002F2AAA" w:rsidRPr="00111470">
        <w:rPr>
          <w:rFonts w:ascii="Century Gothic" w:hAnsi="Century Gothic"/>
          <w:spacing w:val="20"/>
        </w:rPr>
        <w:t>, a través del INSTITUTO AUTARQUICO PROVINCIAL DE PLANEAMIENTO Y VIVIENDA.</w:t>
      </w:r>
      <w:r w:rsidR="00111470">
        <w:rPr>
          <w:rFonts w:ascii="Century Gothic" w:hAnsi="Century Gothic"/>
          <w:spacing w:val="20"/>
        </w:rPr>
        <w:t>-</w:t>
      </w:r>
    </w:p>
    <w:p w:rsidR="00111470" w:rsidRPr="00111470" w:rsidRDefault="00111470" w:rsidP="00111470">
      <w:pPr>
        <w:spacing w:after="0" w:line="288" w:lineRule="auto"/>
        <w:jc w:val="both"/>
        <w:rPr>
          <w:rFonts w:ascii="Century Gothic" w:hAnsi="Century Gothic"/>
          <w:spacing w:val="20"/>
        </w:rPr>
      </w:pPr>
    </w:p>
    <w:p w:rsidR="001B36E0" w:rsidRPr="00111470" w:rsidRDefault="001B36E0" w:rsidP="00111470">
      <w:pPr>
        <w:spacing w:line="288" w:lineRule="auto"/>
        <w:jc w:val="both"/>
        <w:rPr>
          <w:rFonts w:ascii="Century Gothic" w:hAnsi="Century Gothic"/>
          <w:spacing w:val="20"/>
        </w:rPr>
      </w:pPr>
      <w:r w:rsidRPr="00111470">
        <w:rPr>
          <w:rFonts w:ascii="Century Gothic" w:hAnsi="Century Gothic"/>
          <w:b/>
          <w:spacing w:val="20"/>
          <w:u w:val="single"/>
        </w:rPr>
        <w:t>Artículo 2º.-</w:t>
      </w:r>
      <w:r w:rsidRPr="00111470">
        <w:rPr>
          <w:rFonts w:ascii="Century Gothic" w:hAnsi="Century Gothic"/>
          <w:spacing w:val="20"/>
        </w:rPr>
        <w:t xml:space="preserve"> </w:t>
      </w:r>
      <w:r w:rsidR="00692992" w:rsidRPr="00111470">
        <w:rPr>
          <w:rFonts w:ascii="Century Gothic" w:eastAsia="Times New Roman" w:hAnsi="Century Gothic" w:cs="Times New Roman"/>
          <w:color w:val="000000"/>
          <w:spacing w:val="20"/>
          <w:shd w:val="clear" w:color="auto" w:fill="FFFFFF" w:themeFill="background1"/>
        </w:rPr>
        <w:t>Invitase</w:t>
      </w:r>
      <w:r w:rsidR="00084B6D" w:rsidRPr="00111470">
        <w:rPr>
          <w:rFonts w:ascii="Century Gothic" w:eastAsia="Times New Roman" w:hAnsi="Century Gothic" w:cs="Times New Roman"/>
          <w:color w:val="000000"/>
          <w:spacing w:val="20"/>
          <w:shd w:val="clear" w:color="auto" w:fill="FFFFFF" w:themeFill="background1"/>
        </w:rPr>
        <w:t xml:space="preserve"> a los municipios y comunas de la Provincia a adherir a las disposiciones de la presente norma</w:t>
      </w:r>
      <w:r w:rsidRPr="00111470">
        <w:rPr>
          <w:rFonts w:ascii="Century Gothic" w:hAnsi="Century Gothic"/>
          <w:spacing w:val="20"/>
        </w:rPr>
        <w:t>.</w:t>
      </w:r>
      <w:r w:rsidR="00111470">
        <w:rPr>
          <w:rFonts w:ascii="Century Gothic" w:hAnsi="Century Gothic"/>
          <w:spacing w:val="20"/>
        </w:rPr>
        <w:t>-</w:t>
      </w:r>
      <w:r w:rsidRPr="00111470">
        <w:rPr>
          <w:rFonts w:ascii="Century Gothic" w:hAnsi="Century Gothic"/>
          <w:spacing w:val="20"/>
        </w:rPr>
        <w:t xml:space="preserve"> </w:t>
      </w:r>
    </w:p>
    <w:p w:rsidR="001B36E0" w:rsidRPr="00111470" w:rsidRDefault="001B36E0" w:rsidP="00111470">
      <w:pPr>
        <w:spacing w:line="288" w:lineRule="auto"/>
        <w:jc w:val="both"/>
        <w:rPr>
          <w:rFonts w:ascii="Century Gothic" w:hAnsi="Century Gothic"/>
          <w:spacing w:val="20"/>
        </w:rPr>
      </w:pPr>
      <w:r w:rsidRPr="00111470">
        <w:rPr>
          <w:rFonts w:ascii="Century Gothic" w:hAnsi="Century Gothic"/>
          <w:b/>
          <w:spacing w:val="20"/>
          <w:u w:val="single"/>
        </w:rPr>
        <w:t>Artículo 3</w:t>
      </w:r>
      <w:r w:rsidR="00084B6D" w:rsidRPr="00111470">
        <w:rPr>
          <w:rFonts w:ascii="Century Gothic" w:hAnsi="Century Gothic"/>
          <w:b/>
          <w:spacing w:val="20"/>
          <w:u w:val="single"/>
        </w:rPr>
        <w:t>º.-</w:t>
      </w:r>
      <w:r w:rsidR="00111470">
        <w:rPr>
          <w:rFonts w:ascii="Century Gothic" w:hAnsi="Century Gothic"/>
          <w:spacing w:val="20"/>
        </w:rPr>
        <w:t xml:space="preserve"> Comuníquese, etcétera.</w:t>
      </w:r>
      <w:r w:rsidRPr="00111470">
        <w:rPr>
          <w:rFonts w:ascii="Century Gothic" w:hAnsi="Century Gothic"/>
          <w:spacing w:val="20"/>
        </w:rPr>
        <w:t>-</w:t>
      </w:r>
    </w:p>
    <w:p w:rsidR="00C57CB4" w:rsidRPr="00111470" w:rsidRDefault="00C57CB4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2F2AAA" w:rsidRPr="00111470" w:rsidRDefault="002F2AAA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2F2AAA" w:rsidRPr="00111470" w:rsidRDefault="002F2AAA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084B6D" w:rsidRPr="00111470" w:rsidRDefault="00084B6D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084B6D" w:rsidRPr="00111470" w:rsidRDefault="00084B6D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084B6D" w:rsidRPr="00111470" w:rsidRDefault="00084B6D" w:rsidP="00111470">
      <w:pPr>
        <w:spacing w:line="288" w:lineRule="auto"/>
        <w:jc w:val="both"/>
        <w:rPr>
          <w:rFonts w:ascii="Century Gothic" w:hAnsi="Century Gothic"/>
          <w:spacing w:val="20"/>
        </w:rPr>
      </w:pPr>
    </w:p>
    <w:p w:rsidR="00084B6D" w:rsidRPr="00111470" w:rsidRDefault="00084B6D" w:rsidP="00111470">
      <w:pPr>
        <w:spacing w:line="288" w:lineRule="auto"/>
        <w:jc w:val="both"/>
        <w:rPr>
          <w:rFonts w:ascii="Century Gothic" w:hAnsi="Century Gothic"/>
          <w:spacing w:val="20"/>
        </w:rPr>
      </w:pPr>
      <w:bookmarkStart w:id="0" w:name="_GoBack"/>
      <w:bookmarkEnd w:id="0"/>
    </w:p>
    <w:sectPr w:rsidR="00084B6D" w:rsidRPr="00111470" w:rsidSect="00111470">
      <w:headerReference w:type="default" r:id="rId8"/>
      <w:pgSz w:w="11906" w:h="16838"/>
      <w:pgMar w:top="3402" w:right="68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B8" w:rsidRDefault="002253B8" w:rsidP="00111470">
      <w:pPr>
        <w:spacing w:after="0" w:line="240" w:lineRule="auto"/>
      </w:pPr>
      <w:r>
        <w:separator/>
      </w:r>
    </w:p>
  </w:endnote>
  <w:endnote w:type="continuationSeparator" w:id="0">
    <w:p w:rsidR="002253B8" w:rsidRDefault="002253B8" w:rsidP="0011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B8" w:rsidRDefault="002253B8" w:rsidP="00111470">
      <w:pPr>
        <w:spacing w:after="0" w:line="240" w:lineRule="auto"/>
      </w:pPr>
      <w:r>
        <w:separator/>
      </w:r>
    </w:p>
  </w:footnote>
  <w:footnote w:type="continuationSeparator" w:id="0">
    <w:p w:rsidR="002253B8" w:rsidRDefault="002253B8" w:rsidP="0011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70" w:rsidRPr="00B22A6E" w:rsidRDefault="00111470" w:rsidP="00111470">
    <w:pPr>
      <w:pStyle w:val="Encabezado"/>
      <w:jc w:val="right"/>
      <w:rPr>
        <w:rFonts w:ascii="Century Gothic" w:hAnsi="Century Gothic" w:cs="Arial"/>
        <w:i/>
        <w:sz w:val="18"/>
        <w:szCs w:val="18"/>
      </w:rPr>
    </w:pPr>
    <w:r w:rsidRPr="00B22A6E">
      <w:rPr>
        <w:rFonts w:ascii="Century Gothic" w:hAnsi="Century Gothic" w:cs="Arial"/>
        <w:i/>
        <w:sz w:val="18"/>
        <w:szCs w:val="18"/>
      </w:rPr>
      <w:t>“2021-Año del Bicentenario de la Muerte del Caudillo Francisco Ramírez”</w:t>
    </w:r>
  </w:p>
  <w:p w:rsidR="00111470" w:rsidRDefault="00111470">
    <w:pPr>
      <w:pStyle w:val="Encabezado"/>
    </w:pPr>
  </w:p>
  <w:p w:rsidR="00111470" w:rsidRDefault="001114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52446"/>
    <w:multiLevelType w:val="hybridMultilevel"/>
    <w:tmpl w:val="ED2A1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31"/>
    <w:rsid w:val="00012052"/>
    <w:rsid w:val="00084B6D"/>
    <w:rsid w:val="000C7233"/>
    <w:rsid w:val="00111470"/>
    <w:rsid w:val="00125101"/>
    <w:rsid w:val="00173BF5"/>
    <w:rsid w:val="001B0B7B"/>
    <w:rsid w:val="001B36E0"/>
    <w:rsid w:val="002253B8"/>
    <w:rsid w:val="00231339"/>
    <w:rsid w:val="00242F99"/>
    <w:rsid w:val="002F2AAA"/>
    <w:rsid w:val="00323A4B"/>
    <w:rsid w:val="003267D4"/>
    <w:rsid w:val="00384EB4"/>
    <w:rsid w:val="003B4369"/>
    <w:rsid w:val="003B66FD"/>
    <w:rsid w:val="00442731"/>
    <w:rsid w:val="004950DE"/>
    <w:rsid w:val="00585B13"/>
    <w:rsid w:val="005C3377"/>
    <w:rsid w:val="005C605A"/>
    <w:rsid w:val="00692992"/>
    <w:rsid w:val="006C3EC8"/>
    <w:rsid w:val="007820F0"/>
    <w:rsid w:val="00797E7C"/>
    <w:rsid w:val="007B5F03"/>
    <w:rsid w:val="00860BA1"/>
    <w:rsid w:val="00890A5F"/>
    <w:rsid w:val="009367B3"/>
    <w:rsid w:val="0096275D"/>
    <w:rsid w:val="00A1264B"/>
    <w:rsid w:val="00A1643A"/>
    <w:rsid w:val="00A42F25"/>
    <w:rsid w:val="00A97631"/>
    <w:rsid w:val="00B227FA"/>
    <w:rsid w:val="00B8261E"/>
    <w:rsid w:val="00BD38C5"/>
    <w:rsid w:val="00C1170D"/>
    <w:rsid w:val="00C57CB4"/>
    <w:rsid w:val="00C57CF1"/>
    <w:rsid w:val="00C9346A"/>
    <w:rsid w:val="00EE6DF9"/>
    <w:rsid w:val="00F3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44677-93A5-4247-B486-EFCF1319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CB4"/>
    <w:pPr>
      <w:ind w:left="720"/>
      <w:contextualSpacing/>
    </w:pPr>
  </w:style>
  <w:style w:type="paragraph" w:customStyle="1" w:styleId="Default">
    <w:name w:val="Default"/>
    <w:rsid w:val="00F35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11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470"/>
  </w:style>
  <w:style w:type="paragraph" w:styleId="Piedepgina">
    <w:name w:val="footer"/>
    <w:basedOn w:val="Normal"/>
    <w:link w:val="PiedepginaCar"/>
    <w:uiPriority w:val="99"/>
    <w:semiHidden/>
    <w:unhideWhenUsed/>
    <w:rsid w:val="00111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1470"/>
  </w:style>
  <w:style w:type="paragraph" w:styleId="Textodeglobo">
    <w:name w:val="Balloon Text"/>
    <w:basedOn w:val="Normal"/>
    <w:link w:val="TextodegloboCar"/>
    <w:uiPriority w:val="99"/>
    <w:semiHidden/>
    <w:unhideWhenUsed/>
    <w:rsid w:val="0011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D82C-2145-447C-9412-AF9A2569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2</cp:revision>
  <cp:lastPrinted>2021-07-29T15:32:00Z</cp:lastPrinted>
  <dcterms:created xsi:type="dcterms:W3CDTF">2021-08-26T12:34:00Z</dcterms:created>
  <dcterms:modified xsi:type="dcterms:W3CDTF">2021-08-26T12:34:00Z</dcterms:modified>
</cp:coreProperties>
</file>