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Default="00BD21EB" w:rsidP="00A642F0">
      <w:pPr>
        <w:jc w:val="center"/>
      </w:pPr>
    </w:p>
    <w:p w:rsidR="00C37775" w:rsidRPr="00747434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47434">
        <w:rPr>
          <w:rFonts w:ascii="Arial" w:eastAsia="Arial" w:hAnsi="Arial" w:cs="Arial"/>
          <w:b/>
          <w:color w:val="000000"/>
          <w:sz w:val="24"/>
          <w:szCs w:val="24"/>
        </w:rPr>
        <w:t>PROYECTO DE LEY</w:t>
      </w:r>
    </w:p>
    <w:p w:rsidR="00C37775" w:rsidRPr="00747434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before="220" w:after="2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47434">
        <w:rPr>
          <w:rFonts w:ascii="Arial" w:eastAsia="Arial" w:hAnsi="Arial" w:cs="Arial"/>
          <w:b/>
          <w:color w:val="000000"/>
          <w:sz w:val="24"/>
          <w:szCs w:val="24"/>
        </w:rPr>
        <w:t>FUNDAMENTOS</w:t>
      </w:r>
    </w:p>
    <w:p w:rsidR="00C37775" w:rsidRPr="00747434" w:rsidRDefault="00C37775" w:rsidP="00C377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47434">
        <w:rPr>
          <w:rFonts w:ascii="Arial" w:eastAsia="Arial" w:hAnsi="Arial" w:cs="Arial"/>
          <w:sz w:val="24"/>
          <w:szCs w:val="24"/>
        </w:rPr>
        <w:t>Mediante Ley 10.877 la Legislatura de la Provincia de Entre Ríos autorizó al Instituto Autárquico Provincial del Seg</w:t>
      </w:r>
      <w:r>
        <w:rPr>
          <w:rFonts w:ascii="Arial" w:eastAsia="Arial" w:hAnsi="Arial" w:cs="Arial"/>
          <w:sz w:val="24"/>
          <w:szCs w:val="24"/>
        </w:rPr>
        <w:t>uro de Entre Ríos a constituir una Fundación conforme normas del</w:t>
      </w:r>
      <w:r w:rsidRPr="00747434">
        <w:rPr>
          <w:rFonts w:ascii="Arial" w:eastAsia="Arial" w:hAnsi="Arial" w:cs="Arial"/>
          <w:sz w:val="24"/>
          <w:szCs w:val="24"/>
        </w:rPr>
        <w:t xml:space="preserve"> Código Civil y Comercial de la Nación.</w:t>
      </w:r>
    </w:p>
    <w:p w:rsidR="00C37775" w:rsidRPr="00747434" w:rsidRDefault="00C37775" w:rsidP="00C377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Pr="00747434">
        <w:rPr>
          <w:rFonts w:ascii="Arial" w:eastAsia="Arial" w:hAnsi="Arial" w:cs="Arial"/>
          <w:sz w:val="24"/>
          <w:szCs w:val="24"/>
        </w:rPr>
        <w:t>l artículo</w:t>
      </w:r>
      <w:r>
        <w:rPr>
          <w:rFonts w:ascii="Arial" w:eastAsia="Arial" w:hAnsi="Arial" w:cs="Arial"/>
          <w:sz w:val="24"/>
          <w:szCs w:val="24"/>
        </w:rPr>
        <w:t xml:space="preserve"> 11</w:t>
      </w:r>
      <w:r w:rsidRPr="00747434">
        <w:rPr>
          <w:rFonts w:ascii="Arial" w:eastAsia="Arial" w:hAnsi="Arial" w:cs="Arial"/>
          <w:sz w:val="24"/>
          <w:szCs w:val="24"/>
        </w:rPr>
        <w:t xml:space="preserve"> de la </w:t>
      </w:r>
      <w:r>
        <w:rPr>
          <w:rFonts w:ascii="Arial" w:eastAsia="Arial" w:hAnsi="Arial" w:cs="Arial"/>
          <w:sz w:val="24"/>
          <w:szCs w:val="24"/>
        </w:rPr>
        <w:t>citada norma establece que, en</w:t>
      </w:r>
      <w:r w:rsidRPr="00747434">
        <w:rPr>
          <w:rFonts w:ascii="Arial" w:eastAsia="Arial" w:hAnsi="Arial" w:cs="Arial"/>
          <w:sz w:val="24"/>
          <w:szCs w:val="24"/>
        </w:rPr>
        <w:t xml:space="preserve"> la hipótesis de disolución de la fundación, si resultaren bienes remanentes éstos serán transferidos al Instituto Autárquico del Seguro de Entre Ríos.</w:t>
      </w:r>
    </w:p>
    <w:p w:rsidR="00C37775" w:rsidRPr="00747434" w:rsidRDefault="00C37775" w:rsidP="00C3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434">
        <w:rPr>
          <w:rFonts w:ascii="Arial" w:eastAsia="Arial" w:hAnsi="Arial" w:cs="Arial"/>
          <w:sz w:val="24"/>
          <w:szCs w:val="24"/>
        </w:rPr>
        <w:t>Por su parte</w:t>
      </w:r>
      <w:r>
        <w:rPr>
          <w:rFonts w:ascii="Arial" w:eastAsia="Arial" w:hAnsi="Arial" w:cs="Arial"/>
          <w:sz w:val="24"/>
          <w:szCs w:val="24"/>
        </w:rPr>
        <w:t>,</w:t>
      </w:r>
      <w:r w:rsidRPr="00747434">
        <w:rPr>
          <w:rFonts w:ascii="Arial" w:eastAsia="Arial" w:hAnsi="Arial" w:cs="Arial"/>
          <w:sz w:val="24"/>
          <w:szCs w:val="24"/>
        </w:rPr>
        <w:t xml:space="preserve"> la Ley Nacional N° 20.628 de impuesto a las ganancias, en su actual redacción, exime el pago dicho tributo a las fundaciones </w:t>
      </w:r>
      <w:r w:rsidRPr="00747434">
        <w:rPr>
          <w:rFonts w:ascii="Arial" w:eastAsia="Arial" w:hAnsi="Arial" w:cs="Arial"/>
          <w:i/>
          <w:sz w:val="24"/>
          <w:szCs w:val="24"/>
        </w:rPr>
        <w:t>“</w:t>
      </w:r>
      <w:r w:rsidRPr="00747434">
        <w:rPr>
          <w:rFonts w:ascii="Arial" w:hAnsi="Arial" w:cs="Arial"/>
          <w:i/>
          <w:sz w:val="24"/>
          <w:szCs w:val="24"/>
        </w:rPr>
        <w:t>siempre que tales ganancias y el patrimonio social se destinen a los fines de su creación, y en ningún caso se distribuyan, directa o indirectamente, entre los socios</w:t>
      </w:r>
      <w:r w:rsidRPr="00747434">
        <w:rPr>
          <w:rFonts w:ascii="Arial" w:hAnsi="Arial" w:cs="Arial"/>
          <w:sz w:val="24"/>
          <w:szCs w:val="24"/>
        </w:rPr>
        <w:t xml:space="preserve">” (art. 20 </w:t>
      </w:r>
      <w:proofErr w:type="spellStart"/>
      <w:r w:rsidRPr="00747434">
        <w:rPr>
          <w:rFonts w:ascii="Arial" w:hAnsi="Arial" w:cs="Arial"/>
          <w:sz w:val="24"/>
          <w:szCs w:val="24"/>
        </w:rPr>
        <w:t>inc</w:t>
      </w:r>
      <w:proofErr w:type="spellEnd"/>
      <w:r w:rsidRPr="00747434">
        <w:rPr>
          <w:rFonts w:ascii="Arial" w:hAnsi="Arial" w:cs="Arial"/>
          <w:sz w:val="24"/>
          <w:szCs w:val="24"/>
        </w:rPr>
        <w:t xml:space="preserve"> f).</w:t>
      </w:r>
    </w:p>
    <w:p w:rsidR="00C37775" w:rsidRPr="00747434" w:rsidRDefault="00C37775" w:rsidP="00C377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47434">
        <w:rPr>
          <w:rFonts w:ascii="Arial" w:hAnsi="Arial" w:cs="Arial"/>
          <w:sz w:val="24"/>
          <w:szCs w:val="24"/>
        </w:rPr>
        <w:t xml:space="preserve">Asimismo, dicho recaudo es exigido a los efectos de que las donaciones recibidas por la fundación puedan ser deducidas en los términos del art. 81 </w:t>
      </w:r>
      <w:proofErr w:type="spellStart"/>
      <w:r w:rsidRPr="00747434">
        <w:rPr>
          <w:rFonts w:ascii="Arial" w:hAnsi="Arial" w:cs="Arial"/>
          <w:sz w:val="24"/>
          <w:szCs w:val="24"/>
        </w:rPr>
        <w:t>inc</w:t>
      </w:r>
      <w:proofErr w:type="spellEnd"/>
      <w:r w:rsidRPr="00747434">
        <w:rPr>
          <w:rFonts w:ascii="Arial" w:hAnsi="Arial" w:cs="Arial"/>
          <w:sz w:val="24"/>
          <w:szCs w:val="24"/>
        </w:rPr>
        <w:t xml:space="preserve"> c) de la citada Ley Nacional N° 20.628.</w:t>
      </w:r>
    </w:p>
    <w:p w:rsidR="00C37775" w:rsidRPr="00747434" w:rsidRDefault="00C37775" w:rsidP="00C3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este escenario, l</w:t>
      </w:r>
      <w:r w:rsidRPr="00747434">
        <w:rPr>
          <w:rFonts w:ascii="Arial" w:eastAsia="Arial" w:hAnsi="Arial" w:cs="Arial"/>
          <w:sz w:val="24"/>
          <w:szCs w:val="24"/>
        </w:rPr>
        <w:t>a Administración Federal de Ingresos</w:t>
      </w:r>
      <w:r>
        <w:rPr>
          <w:rFonts w:ascii="Arial" w:eastAsia="Arial" w:hAnsi="Arial" w:cs="Arial"/>
          <w:sz w:val="24"/>
          <w:szCs w:val="24"/>
        </w:rPr>
        <w:t xml:space="preserve"> Públicos (AFIP) interpreta</w:t>
      </w:r>
      <w:r w:rsidRPr="00747434">
        <w:rPr>
          <w:rFonts w:ascii="Arial" w:eastAsia="Arial" w:hAnsi="Arial" w:cs="Arial"/>
          <w:sz w:val="24"/>
          <w:szCs w:val="24"/>
        </w:rPr>
        <w:t xml:space="preserve"> que el requerimiento del art 20 </w:t>
      </w:r>
      <w:proofErr w:type="spellStart"/>
      <w:r w:rsidRPr="00747434">
        <w:rPr>
          <w:rFonts w:ascii="Arial" w:eastAsia="Arial" w:hAnsi="Arial" w:cs="Arial"/>
          <w:sz w:val="24"/>
          <w:szCs w:val="24"/>
        </w:rPr>
        <w:t>inc</w:t>
      </w:r>
      <w:proofErr w:type="spellEnd"/>
      <w:r w:rsidRPr="00747434">
        <w:rPr>
          <w:rFonts w:ascii="Arial" w:eastAsia="Arial" w:hAnsi="Arial" w:cs="Arial"/>
          <w:sz w:val="24"/>
          <w:szCs w:val="24"/>
        </w:rPr>
        <w:t xml:space="preserve"> c)</w:t>
      </w:r>
      <w:r>
        <w:rPr>
          <w:rFonts w:ascii="Arial" w:eastAsia="Arial" w:hAnsi="Arial" w:cs="Arial"/>
          <w:sz w:val="24"/>
          <w:szCs w:val="24"/>
        </w:rPr>
        <w:t xml:space="preserve"> de la Ley 20.628</w:t>
      </w:r>
      <w:r w:rsidRPr="00747434">
        <w:rPr>
          <w:rFonts w:ascii="Arial" w:eastAsia="Arial" w:hAnsi="Arial" w:cs="Arial"/>
          <w:sz w:val="24"/>
          <w:szCs w:val="24"/>
        </w:rPr>
        <w:t xml:space="preserve"> se cumplimenta</w:t>
      </w:r>
      <w:r>
        <w:rPr>
          <w:rFonts w:ascii="Arial" w:eastAsia="Arial" w:hAnsi="Arial" w:cs="Arial"/>
          <w:sz w:val="24"/>
          <w:szCs w:val="24"/>
        </w:rPr>
        <w:t xml:space="preserve"> siempre que,</w:t>
      </w:r>
      <w:r w:rsidRPr="00747434">
        <w:rPr>
          <w:rFonts w:ascii="Arial" w:eastAsia="Arial" w:hAnsi="Arial" w:cs="Arial"/>
          <w:sz w:val="24"/>
          <w:szCs w:val="24"/>
        </w:rPr>
        <w:t xml:space="preserve"> ante la hipótesis de disolución</w:t>
      </w:r>
      <w:r>
        <w:rPr>
          <w:rFonts w:ascii="Arial" w:eastAsia="Arial" w:hAnsi="Arial" w:cs="Arial"/>
          <w:sz w:val="24"/>
          <w:szCs w:val="24"/>
        </w:rPr>
        <w:t xml:space="preserve"> de la fundación</w:t>
      </w:r>
      <w:r w:rsidRPr="00747434">
        <w:rPr>
          <w:rFonts w:ascii="Arial" w:eastAsia="Arial" w:hAnsi="Arial" w:cs="Arial"/>
          <w:sz w:val="24"/>
          <w:szCs w:val="24"/>
        </w:rPr>
        <w:t xml:space="preserve">, los bienes remanentes sean transferidos a </w:t>
      </w:r>
      <w:r w:rsidRPr="00747434">
        <w:rPr>
          <w:rFonts w:ascii="Arial" w:hAnsi="Arial" w:cs="Arial"/>
          <w:sz w:val="24"/>
          <w:szCs w:val="24"/>
        </w:rPr>
        <w:t>una entidad reconocida por la AFIP como exenta del impuesto a las ganancias.</w:t>
      </w:r>
    </w:p>
    <w:p w:rsidR="00C37775" w:rsidRPr="00747434" w:rsidRDefault="00C37775" w:rsidP="00C3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434">
        <w:rPr>
          <w:rFonts w:ascii="Arial" w:hAnsi="Arial" w:cs="Arial"/>
          <w:sz w:val="24"/>
          <w:szCs w:val="24"/>
        </w:rPr>
        <w:t>Visto lo expuesto, surge la necesidad de adecuar el art. 11 de la Ley Provincial N° 10.877 a los preceptos</w:t>
      </w:r>
      <w:r>
        <w:rPr>
          <w:rFonts w:ascii="Arial" w:hAnsi="Arial" w:cs="Arial"/>
          <w:sz w:val="24"/>
          <w:szCs w:val="24"/>
        </w:rPr>
        <w:t xml:space="preserve"> nacionales</w:t>
      </w:r>
      <w:r w:rsidRPr="00747434">
        <w:rPr>
          <w:rFonts w:ascii="Arial" w:hAnsi="Arial" w:cs="Arial"/>
          <w:sz w:val="24"/>
          <w:szCs w:val="24"/>
        </w:rPr>
        <w:t xml:space="preserve"> citados, atento que el Instituto Autárquico del Seguro de Entre Ríos no resulta exento para el pago del impuesto a las ganancias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>estableciendo</w:t>
      </w:r>
      <w:r w:rsidRPr="0074743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747434">
        <w:rPr>
          <w:rFonts w:ascii="Arial" w:hAnsi="Arial" w:cs="Arial"/>
          <w:sz w:val="24"/>
          <w:szCs w:val="24"/>
        </w:rPr>
        <w:t xml:space="preserve"> en el caso de disolución</w:t>
      </w:r>
      <w:r>
        <w:rPr>
          <w:rFonts w:ascii="Arial" w:hAnsi="Arial" w:cs="Arial"/>
          <w:sz w:val="24"/>
          <w:szCs w:val="24"/>
        </w:rPr>
        <w:t xml:space="preserve"> de la fundación,</w:t>
      </w:r>
      <w:r w:rsidRPr="00747434">
        <w:rPr>
          <w:rFonts w:ascii="Arial" w:hAnsi="Arial" w:cs="Arial"/>
          <w:sz w:val="24"/>
          <w:szCs w:val="24"/>
        </w:rPr>
        <w:t xml:space="preserve"> los bienes remanentes serán transferidos al Superior Gobierno de la Provincia de Entre Ríos.</w:t>
      </w:r>
    </w:p>
    <w:p w:rsidR="00C37775" w:rsidRPr="00747434" w:rsidRDefault="00C37775" w:rsidP="00C377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47434">
        <w:rPr>
          <w:rFonts w:ascii="Arial" w:eastAsia="Arial" w:hAnsi="Arial" w:cs="Arial"/>
          <w:sz w:val="24"/>
          <w:szCs w:val="24"/>
        </w:rPr>
        <w:t xml:space="preserve">Por las razones expresadas y las demás que suplan mis pares, es que se pone a su consideración e intereso el pronto tratamiento y aprobación del presente proyecto de ley, </w:t>
      </w:r>
    </w:p>
    <w:p w:rsidR="00C37775" w:rsidRPr="001E2768" w:rsidRDefault="00C37775" w:rsidP="00C377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37775" w:rsidRPr="001E2768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before="220" w:line="360" w:lineRule="auto"/>
        <w:ind w:left="-142" w:firstLine="14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E2768">
        <w:rPr>
          <w:rFonts w:ascii="Arial" w:eastAsia="Arial" w:hAnsi="Arial" w:cs="Arial"/>
          <w:b/>
          <w:color w:val="000000"/>
          <w:sz w:val="24"/>
          <w:szCs w:val="24"/>
        </w:rPr>
        <w:t>LA LEGISLATURA DE LA PROVINCIA DE ENTRE RÍOS SANCIONA</w:t>
      </w:r>
    </w:p>
    <w:p w:rsidR="00C37775" w:rsidRPr="001E2768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before="2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E2768">
        <w:rPr>
          <w:rFonts w:ascii="Arial" w:eastAsia="Arial" w:hAnsi="Arial" w:cs="Arial"/>
          <w:b/>
          <w:color w:val="000000"/>
          <w:sz w:val="24"/>
          <w:szCs w:val="24"/>
        </w:rPr>
        <w:t>CON FUERZA DE LEY</w:t>
      </w:r>
    </w:p>
    <w:p w:rsidR="00C37775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before="220" w:after="2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276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1E2768">
        <w:rPr>
          <w:rFonts w:ascii="Arial" w:eastAsia="Arial" w:hAnsi="Arial" w:cs="Arial"/>
          <w:b/>
          <w:sz w:val="24"/>
          <w:szCs w:val="24"/>
          <w:u w:val="single"/>
        </w:rPr>
        <w:t>ARTÍCULO 1°:</w:t>
      </w:r>
      <w:r w:rsidRPr="001E276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Modifíquese el art. 11 de la Ley 10.877, quedando redactado de la siguiente manera: “</w:t>
      </w:r>
      <w:r w:rsidRPr="005D5765">
        <w:rPr>
          <w:rFonts w:ascii="Arial" w:eastAsia="Arial" w:hAnsi="Arial" w:cs="Arial"/>
          <w:sz w:val="24"/>
          <w:szCs w:val="24"/>
        </w:rPr>
        <w:t>El Consejo de Administración podrá decidir la Disolución de la Fundación solo en caso de fuerza mayor o imposibilidad manifiesta del cumplimiento de los objetivos institucionales. Tal decisión será adoptada mediante el voto de los dos tercios del total de los miembros que integran la fundación y en el supuesto de resolverse la Disolución, el Consejo de Administración designara los liquidadores, quienes procederán a cancelar, en su caso, el pasivo que existiere. Si resultaren bienes remanentes, estos será</w:t>
      </w:r>
      <w:r>
        <w:rPr>
          <w:rFonts w:ascii="Arial" w:eastAsia="Arial" w:hAnsi="Arial" w:cs="Arial"/>
          <w:sz w:val="24"/>
          <w:szCs w:val="24"/>
        </w:rPr>
        <w:t>n transferidos al Superior Gobierno de la Provincia de Entre Ríos”.</w:t>
      </w:r>
    </w:p>
    <w:p w:rsidR="00C37775" w:rsidRPr="001E2768" w:rsidRDefault="00C37775" w:rsidP="00C377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F65887" w:rsidRDefault="00F65887" w:rsidP="00C3777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F65887" w:rsidSect="003569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6D" w:rsidRDefault="0078326D" w:rsidP="00DF78C2">
      <w:pPr>
        <w:spacing w:after="0" w:line="240" w:lineRule="auto"/>
      </w:pPr>
      <w:r>
        <w:separator/>
      </w:r>
    </w:p>
  </w:endnote>
  <w:endnote w:type="continuationSeparator" w:id="0">
    <w:p w:rsidR="0078326D" w:rsidRDefault="0078326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6D" w:rsidRDefault="0078326D" w:rsidP="00DF78C2">
      <w:pPr>
        <w:spacing w:after="0" w:line="240" w:lineRule="auto"/>
      </w:pPr>
      <w:r>
        <w:separator/>
      </w:r>
    </w:p>
  </w:footnote>
  <w:footnote w:type="continuationSeparator" w:id="0">
    <w:p w:rsidR="0078326D" w:rsidRDefault="0078326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C0F11"/>
    <w:rsid w:val="000D6593"/>
    <w:rsid w:val="000F0B51"/>
    <w:rsid w:val="000F3026"/>
    <w:rsid w:val="00102303"/>
    <w:rsid w:val="00244D66"/>
    <w:rsid w:val="00295016"/>
    <w:rsid w:val="002B2AC9"/>
    <w:rsid w:val="002C55B7"/>
    <w:rsid w:val="002D0421"/>
    <w:rsid w:val="002D7721"/>
    <w:rsid w:val="002E2E7E"/>
    <w:rsid w:val="003569D9"/>
    <w:rsid w:val="003D4411"/>
    <w:rsid w:val="00402356"/>
    <w:rsid w:val="00493875"/>
    <w:rsid w:val="004F34D4"/>
    <w:rsid w:val="005040EE"/>
    <w:rsid w:val="00590D66"/>
    <w:rsid w:val="00651AD8"/>
    <w:rsid w:val="00673E38"/>
    <w:rsid w:val="006C72C3"/>
    <w:rsid w:val="0070009D"/>
    <w:rsid w:val="0078326D"/>
    <w:rsid w:val="00787390"/>
    <w:rsid w:val="00790735"/>
    <w:rsid w:val="007921DF"/>
    <w:rsid w:val="008159C2"/>
    <w:rsid w:val="00831455"/>
    <w:rsid w:val="00866E12"/>
    <w:rsid w:val="008B13DB"/>
    <w:rsid w:val="008E4C0E"/>
    <w:rsid w:val="00956E4D"/>
    <w:rsid w:val="00971E8D"/>
    <w:rsid w:val="00974BE0"/>
    <w:rsid w:val="00977668"/>
    <w:rsid w:val="00995495"/>
    <w:rsid w:val="00A351FB"/>
    <w:rsid w:val="00A642F0"/>
    <w:rsid w:val="00A979A6"/>
    <w:rsid w:val="00AE5963"/>
    <w:rsid w:val="00B21434"/>
    <w:rsid w:val="00BC3A05"/>
    <w:rsid w:val="00BD21EB"/>
    <w:rsid w:val="00BF0974"/>
    <w:rsid w:val="00C07FBD"/>
    <w:rsid w:val="00C37775"/>
    <w:rsid w:val="00C455B0"/>
    <w:rsid w:val="00C72565"/>
    <w:rsid w:val="00CF302E"/>
    <w:rsid w:val="00D15766"/>
    <w:rsid w:val="00D2732B"/>
    <w:rsid w:val="00D307F3"/>
    <w:rsid w:val="00D6661D"/>
    <w:rsid w:val="00D81520"/>
    <w:rsid w:val="00DD3C45"/>
    <w:rsid w:val="00DE6067"/>
    <w:rsid w:val="00DF10CF"/>
    <w:rsid w:val="00DF2361"/>
    <w:rsid w:val="00DF5493"/>
    <w:rsid w:val="00DF78C2"/>
    <w:rsid w:val="00E00A4B"/>
    <w:rsid w:val="00E4051B"/>
    <w:rsid w:val="00EE79CF"/>
    <w:rsid w:val="00F2558A"/>
    <w:rsid w:val="00F51D2C"/>
    <w:rsid w:val="00F65887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2BCE3-56F8-4CFA-B0F6-9EDD2A59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2</cp:revision>
  <cp:lastPrinted>2021-11-30T14:42:00Z</cp:lastPrinted>
  <dcterms:created xsi:type="dcterms:W3CDTF">2021-11-30T14:43:00Z</dcterms:created>
  <dcterms:modified xsi:type="dcterms:W3CDTF">2021-11-30T14:43:00Z</dcterms:modified>
</cp:coreProperties>
</file>