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870" w:rsidRDefault="003F5870" w:rsidP="003F5870">
      <w:pPr>
        <w:widowControl w:val="0"/>
        <w:snapToGrid w:val="0"/>
        <w:ind w:left="1080" w:right="-432"/>
      </w:pPr>
      <w:r>
        <w:t xml:space="preserve">     </w:t>
      </w:r>
      <w:r>
        <w:rPr>
          <w:noProof/>
          <w:lang w:val="es-AR" w:eastAsia="es-AR"/>
        </w:rPr>
        <w:drawing>
          <wp:inline distT="0" distB="0" distL="0" distR="0">
            <wp:extent cx="352425" cy="457200"/>
            <wp:effectExtent l="0" t="0" r="9525" b="0"/>
            <wp:docPr id="1" name="Imagen 1" descr="escudoch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chi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2425" cy="457200"/>
                    </a:xfrm>
                    <a:prstGeom prst="rect">
                      <a:avLst/>
                    </a:prstGeom>
                    <a:noFill/>
                    <a:ln>
                      <a:noFill/>
                    </a:ln>
                  </pic:spPr>
                </pic:pic>
              </a:graphicData>
            </a:graphic>
          </wp:inline>
        </w:drawing>
      </w:r>
      <w:r>
        <w:t xml:space="preserve">                                                                                                                                                                                                 </w:t>
      </w:r>
    </w:p>
    <w:p w:rsidR="003F5870" w:rsidRDefault="003F5870" w:rsidP="003F5870">
      <w:pPr>
        <w:widowControl w:val="0"/>
        <w:snapToGrid w:val="0"/>
        <w:ind w:left="1080" w:right="-432" w:hanging="900"/>
        <w:rPr>
          <w:rFonts w:ascii="Arial" w:hAnsi="Arial" w:cs="Arial"/>
          <w:sz w:val="20"/>
        </w:rPr>
      </w:pPr>
      <w:r>
        <w:rPr>
          <w:rFonts w:ascii="Arial" w:hAnsi="Arial" w:cs="Arial"/>
          <w:sz w:val="20"/>
        </w:rPr>
        <w:t>Honorable Cámara de Senadores</w:t>
      </w:r>
    </w:p>
    <w:p w:rsidR="003F5870" w:rsidRDefault="003F5870" w:rsidP="003F5870">
      <w:pPr>
        <w:widowControl w:val="0"/>
        <w:snapToGrid w:val="0"/>
        <w:ind w:left="1080" w:right="-432" w:hanging="900"/>
        <w:rPr>
          <w:rFonts w:ascii="Arial" w:hAnsi="Arial" w:cs="Arial"/>
          <w:sz w:val="20"/>
        </w:rPr>
      </w:pPr>
      <w:r>
        <w:rPr>
          <w:rFonts w:ascii="Arial" w:hAnsi="Arial" w:cs="Arial"/>
          <w:sz w:val="20"/>
        </w:rPr>
        <w:t xml:space="preserve">                  Entre Ríos</w:t>
      </w:r>
    </w:p>
    <w:p w:rsidR="003F5870" w:rsidRDefault="003F5870" w:rsidP="003F5870">
      <w:pPr>
        <w:widowControl w:val="0"/>
        <w:snapToGrid w:val="0"/>
        <w:ind w:left="1080" w:right="-432" w:hanging="900"/>
        <w:rPr>
          <w:rFonts w:ascii="Arial" w:hAnsi="Arial" w:cs="Arial"/>
          <w:sz w:val="20"/>
        </w:rPr>
      </w:pPr>
    </w:p>
    <w:p w:rsidR="00783767" w:rsidRPr="00CC603F" w:rsidRDefault="00783767" w:rsidP="00783767">
      <w:pPr>
        <w:shd w:val="clear" w:color="auto" w:fill="FFFFFF"/>
        <w:ind w:firstLine="851"/>
        <w:jc w:val="center"/>
        <w:rPr>
          <w:rFonts w:ascii="Verdana" w:eastAsia="Quattrocento Sans" w:hAnsi="Verdana" w:cs="Quattrocento Sans"/>
          <w:color w:val="212529"/>
        </w:rPr>
      </w:pPr>
    </w:p>
    <w:p w:rsidR="00783767" w:rsidRPr="00CC603F" w:rsidRDefault="00783767" w:rsidP="00783767">
      <w:pPr>
        <w:shd w:val="clear" w:color="auto" w:fill="FFFFFF"/>
        <w:ind w:firstLine="851"/>
        <w:jc w:val="center"/>
        <w:rPr>
          <w:rFonts w:ascii="Verdana" w:eastAsia="Quattrocento Sans" w:hAnsi="Verdana" w:cs="Quattrocento Sans"/>
          <w:b/>
          <w:color w:val="212529"/>
        </w:rPr>
      </w:pPr>
      <w:r w:rsidRPr="00CC603F">
        <w:rPr>
          <w:rFonts w:ascii="Verdana" w:eastAsia="Quattrocento Sans" w:hAnsi="Verdana" w:cs="Quattrocento Sans"/>
          <w:b/>
          <w:color w:val="212529"/>
        </w:rPr>
        <w:t>LA LEGISLATURA DE LA PROVINCIA DE ENTRE RIOS</w:t>
      </w:r>
    </w:p>
    <w:p w:rsidR="00783767" w:rsidRPr="00CC603F" w:rsidRDefault="00783767" w:rsidP="00783767">
      <w:pPr>
        <w:shd w:val="clear" w:color="auto" w:fill="FFFFFF"/>
        <w:ind w:firstLine="851"/>
        <w:jc w:val="center"/>
        <w:rPr>
          <w:rFonts w:ascii="Verdana" w:eastAsia="Quattrocento Sans" w:hAnsi="Verdana" w:cs="Quattrocento Sans"/>
          <w:b/>
          <w:color w:val="212529"/>
        </w:rPr>
      </w:pPr>
      <w:r w:rsidRPr="00CC603F">
        <w:rPr>
          <w:rFonts w:ascii="Verdana" w:eastAsia="Quattrocento Sans" w:hAnsi="Verdana" w:cs="Quattrocento Sans"/>
          <w:b/>
          <w:color w:val="212529"/>
        </w:rPr>
        <w:t>SANCIONA CON FUERZA DE</w:t>
      </w:r>
    </w:p>
    <w:p w:rsidR="00783767" w:rsidRPr="00CC603F" w:rsidRDefault="00783767" w:rsidP="00783767">
      <w:pPr>
        <w:shd w:val="clear" w:color="auto" w:fill="FFFFFF"/>
        <w:ind w:firstLine="851"/>
        <w:jc w:val="center"/>
        <w:rPr>
          <w:rFonts w:ascii="Verdana" w:eastAsia="Quattrocento Sans" w:hAnsi="Verdana" w:cs="Quattrocento Sans"/>
          <w:b/>
          <w:color w:val="212529"/>
        </w:rPr>
      </w:pPr>
    </w:p>
    <w:p w:rsidR="00783767" w:rsidRPr="00CC603F" w:rsidRDefault="00783767" w:rsidP="00783767">
      <w:pPr>
        <w:shd w:val="clear" w:color="auto" w:fill="FFFFFF"/>
        <w:ind w:firstLine="851"/>
        <w:jc w:val="center"/>
        <w:rPr>
          <w:rFonts w:ascii="Verdana" w:eastAsia="Quattrocento Sans" w:hAnsi="Verdana" w:cs="Quattrocento Sans"/>
          <w:b/>
          <w:color w:val="212529"/>
        </w:rPr>
      </w:pPr>
      <w:r w:rsidRPr="00CC603F">
        <w:rPr>
          <w:rFonts w:ascii="Verdana" w:eastAsia="Quattrocento Sans" w:hAnsi="Verdana" w:cs="Quattrocento Sans"/>
          <w:b/>
          <w:color w:val="212529"/>
        </w:rPr>
        <w:t>L E Y:</w:t>
      </w:r>
    </w:p>
    <w:p w:rsidR="00783767" w:rsidRPr="00CC603F" w:rsidRDefault="00783767" w:rsidP="00783767">
      <w:pPr>
        <w:shd w:val="clear" w:color="auto" w:fill="FFFFFF"/>
        <w:ind w:firstLine="851"/>
        <w:jc w:val="both"/>
        <w:rPr>
          <w:rFonts w:ascii="Verdana" w:eastAsia="Quattrocento Sans" w:hAnsi="Verdana" w:cs="Quattrocento Sans"/>
          <w:color w:val="212529"/>
        </w:rPr>
      </w:pPr>
    </w:p>
    <w:p w:rsidR="00783767" w:rsidRPr="00CC603F" w:rsidRDefault="00783767" w:rsidP="00783767">
      <w:pPr>
        <w:shd w:val="clear" w:color="auto" w:fill="FFFFFF"/>
        <w:ind w:firstLine="851"/>
        <w:jc w:val="both"/>
        <w:rPr>
          <w:rFonts w:ascii="Verdana" w:eastAsia="Quattrocento Sans" w:hAnsi="Verdana" w:cs="Quattrocento Sans"/>
          <w:color w:val="212529"/>
        </w:rPr>
      </w:pP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ARTICULO 1º.- Se declara como parte integrante del Patrimonio Histórico y Cultural de la Provincia de Entre Ríos, a las actas de sentencia, expedientes, materiales audiovisuales y anexos de los procesos judiciales de Memoria, Verdad y Justicia, tramitados en los Juzgados Federales con asiento territorial en la Provincia de Entre Ríos.</w:t>
      </w:r>
    </w:p>
    <w:p w:rsidR="00783767" w:rsidRPr="00E964A6" w:rsidRDefault="00783767" w:rsidP="00783767">
      <w:pPr>
        <w:shd w:val="clear" w:color="auto" w:fill="FFFFFF"/>
        <w:spacing w:line="360" w:lineRule="auto"/>
        <w:ind w:firstLine="851"/>
        <w:jc w:val="both"/>
        <w:rPr>
          <w:rFonts w:ascii="Verdana" w:eastAsia="Quattrocento Sans" w:hAnsi="Verdana" w:cs="Quattrocento Sans"/>
          <w:color w:val="212529"/>
        </w:rPr>
      </w:pP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ARTÍCULO 2º.- A los efectos de dar cumplimiento a lo establecido en el artículo precedente, se considera</w:t>
      </w:r>
      <w:r w:rsidR="00357F14">
        <w:rPr>
          <w:rFonts w:ascii="Verdana" w:eastAsia="Quattrocento Sans" w:hAnsi="Verdana" w:cs="Quattrocento Sans"/>
          <w:color w:val="212529"/>
        </w:rPr>
        <w:t>n</w:t>
      </w:r>
      <w:r w:rsidRPr="00E964A6">
        <w:rPr>
          <w:rFonts w:ascii="Verdana" w:eastAsia="Quattrocento Sans" w:hAnsi="Verdana" w:cs="Quattrocento Sans"/>
          <w:color w:val="212529"/>
        </w:rPr>
        <w:t xml:space="preserve"> procesos judiciales de Memoria, Verdad  y Justicia, a los juicios que tramitan en los Juzgados Federales con asiento territorial en la Provincia de Entre Ríos para el juzgamiento de delitos de lesa humanidad por violaciones a los derechos humanos, cometidos en el marco del terrorismo de Estado en la Provincia de Entre Ríos durante la última dictadura cívico-militar-eclesiástica entre 1976 y 1983. Los mismos son detallados en el “Anexo I” de la presente Ley.</w:t>
      </w:r>
    </w:p>
    <w:p w:rsidR="00783767" w:rsidRPr="00E964A6" w:rsidRDefault="00783767" w:rsidP="00783767">
      <w:pPr>
        <w:shd w:val="clear" w:color="auto" w:fill="FFFFFF"/>
        <w:spacing w:line="360" w:lineRule="auto"/>
        <w:ind w:firstLine="851"/>
        <w:jc w:val="both"/>
        <w:rPr>
          <w:rFonts w:ascii="Verdana" w:eastAsia="Quattrocento Sans" w:hAnsi="Verdana" w:cs="Quattrocento Sans"/>
          <w:color w:val="212529"/>
        </w:rPr>
      </w:pP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ARTÍCULO 3°. El Registro Único de la Verdad (RUV), organismo dependiente de la S</w:t>
      </w:r>
      <w:r w:rsidR="005E086B">
        <w:rPr>
          <w:rFonts w:ascii="Verdana" w:eastAsia="Quattrocento Sans" w:hAnsi="Verdana" w:cs="Quattrocento Sans"/>
          <w:color w:val="212529"/>
        </w:rPr>
        <w:t>ubs</w:t>
      </w:r>
      <w:r w:rsidRPr="00E964A6">
        <w:rPr>
          <w:rFonts w:ascii="Verdana" w:eastAsia="Quattrocento Sans" w:hAnsi="Verdana" w:cs="Quattrocento Sans"/>
          <w:color w:val="212529"/>
        </w:rPr>
        <w:t xml:space="preserve">ecretaría de </w:t>
      </w:r>
      <w:r w:rsidR="005E086B">
        <w:rPr>
          <w:rFonts w:ascii="Verdana" w:eastAsia="Quattrocento Sans" w:hAnsi="Verdana" w:cs="Quattrocento Sans"/>
          <w:color w:val="212529"/>
        </w:rPr>
        <w:t>Derechos Humanos</w:t>
      </w:r>
      <w:r w:rsidRPr="00E964A6">
        <w:rPr>
          <w:rFonts w:ascii="Verdana" w:eastAsia="Quattrocento Sans" w:hAnsi="Verdana" w:cs="Quattrocento Sans"/>
          <w:color w:val="212529"/>
        </w:rPr>
        <w:t xml:space="preserve"> de la Provincia de Entre Ríos, o el órgano que en un futuro lo reemplace, será la autoridad de aplicación de la presente Ley. </w:t>
      </w:r>
    </w:p>
    <w:p w:rsidR="00783767" w:rsidRPr="00E964A6" w:rsidRDefault="00783767" w:rsidP="00783767">
      <w:pPr>
        <w:shd w:val="clear" w:color="auto" w:fill="FFFFFF"/>
        <w:spacing w:line="360" w:lineRule="auto"/>
        <w:ind w:firstLine="851"/>
        <w:jc w:val="both"/>
        <w:rPr>
          <w:rFonts w:ascii="Verdana" w:eastAsia="Quattrocento Sans" w:hAnsi="Verdana" w:cs="Quattrocento Sans"/>
          <w:color w:val="212529"/>
        </w:rPr>
      </w:pP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 xml:space="preserve">ARTÍCULO 4°. La implementación de la presente Ley, se llevará a cabo progresivamente y deberá prever la digitalización de los documentos que </w:t>
      </w:r>
      <w:r w:rsidRPr="00E964A6">
        <w:rPr>
          <w:rFonts w:ascii="Verdana" w:eastAsia="Quattrocento Sans" w:hAnsi="Verdana" w:cs="Quattrocento Sans"/>
          <w:color w:val="212529"/>
        </w:rPr>
        <w:lastRenderedPageBreak/>
        <w:t>aún no tengan tal respaldo, de acuerdo con las facultades conferidas a la autoridad de aplicación en la Ley Provincial N°9577 y su decreto reglamentario.</w:t>
      </w:r>
      <w:r w:rsidRPr="00E964A6">
        <w:rPr>
          <w:rFonts w:ascii="Verdana" w:eastAsia="Quattrocento Sans" w:hAnsi="Verdana" w:cs="Quattrocento Sans"/>
          <w:color w:val="212529"/>
        </w:rPr>
        <w:br/>
      </w: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ARTÍCULO 5°. A modo excepcional, la autoridad de aplicación, podrá anexar al patrimonio aquellas causas que al momento de la sanción de la presente, aún no cuenten con sentencia firme, pero que reúnan los requisitos comprendidos dentro del objeto denominado en el Art. 2°.</w:t>
      </w: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p>
    <w:p w:rsidR="00783767" w:rsidRPr="00E964A6" w:rsidRDefault="00783767" w:rsidP="00783767">
      <w:pPr>
        <w:spacing w:line="360" w:lineRule="auto"/>
        <w:jc w:val="both"/>
        <w:rPr>
          <w:rFonts w:ascii="Verdana" w:hAnsi="Verdana" w:cs="Arial"/>
          <w:lang w:val="es-ES_tradnl"/>
        </w:rPr>
      </w:pPr>
      <w:r w:rsidRPr="00E964A6">
        <w:rPr>
          <w:rFonts w:ascii="Verdana" w:eastAsia="Quattrocento Sans" w:hAnsi="Verdana" w:cs="Quattrocento Sans"/>
          <w:color w:val="212529"/>
        </w:rPr>
        <w:t>ARTÍCULO 6°. Se autoriza al Poder Ejecutivo</w:t>
      </w:r>
      <w:r w:rsidRPr="00E964A6">
        <w:rPr>
          <w:rFonts w:ascii="Verdana" w:hAnsi="Verdana"/>
          <w:bCs/>
        </w:rPr>
        <w:t xml:space="preserve"> a realizar las adecuaciones presupuestarias necesarias para el cumplimiento de la presente ley, durante el ejercicio posterior de entrada en vigencia de la misma. </w:t>
      </w:r>
      <w:r w:rsidRPr="00E964A6">
        <w:rPr>
          <w:rFonts w:ascii="Verdana" w:eastAsia="Quattrocento Sans" w:hAnsi="Verdana" w:cs="Quattrocento Sans"/>
          <w:color w:val="212529"/>
        </w:rPr>
        <w:t xml:space="preserve"> </w:t>
      </w:r>
    </w:p>
    <w:p w:rsidR="00783767" w:rsidRPr="00E964A6" w:rsidRDefault="00783767" w:rsidP="00783767">
      <w:pPr>
        <w:shd w:val="clear" w:color="auto" w:fill="FFFFFF"/>
        <w:spacing w:line="360" w:lineRule="auto"/>
        <w:jc w:val="both"/>
        <w:rPr>
          <w:rFonts w:ascii="Verdana" w:eastAsia="Quattrocento Sans" w:hAnsi="Verdana" w:cs="Quattrocento Sans"/>
          <w:color w:val="212529"/>
          <w:lang w:val="es-ES_tradnl"/>
        </w:rPr>
      </w:pP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ARTÍCULO 7°.-El Poder Ejecutivo reglamentará la presente Ley e</w:t>
      </w:r>
      <w:r>
        <w:rPr>
          <w:rFonts w:ascii="Verdana" w:eastAsia="Quattrocento Sans" w:hAnsi="Verdana" w:cs="Quattrocento Sans"/>
          <w:color w:val="212529"/>
        </w:rPr>
        <w:t>n un plazo que no excederá los 120</w:t>
      </w:r>
      <w:r w:rsidRPr="00E964A6">
        <w:rPr>
          <w:rFonts w:ascii="Verdana" w:eastAsia="Quattrocento Sans" w:hAnsi="Verdana" w:cs="Quattrocento Sans"/>
          <w:color w:val="212529"/>
        </w:rPr>
        <w:t xml:space="preserve"> días hábiles a partir de su publicación.</w:t>
      </w: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r w:rsidRPr="00E964A6">
        <w:rPr>
          <w:rFonts w:ascii="Verdana" w:eastAsia="Quattrocento Sans" w:hAnsi="Verdana" w:cs="Quattrocento Sans"/>
          <w:color w:val="212529"/>
        </w:rPr>
        <w:t xml:space="preserve">ARTÍCULO 8°.- </w:t>
      </w:r>
      <w:bookmarkStart w:id="0" w:name="_GoBack"/>
      <w:bookmarkEnd w:id="0"/>
      <w:r w:rsidRPr="00E964A6">
        <w:rPr>
          <w:rFonts w:ascii="Verdana" w:eastAsia="Quattrocento Sans" w:hAnsi="Verdana" w:cs="Quattrocento Sans"/>
          <w:color w:val="212529"/>
        </w:rPr>
        <w:t>Comuníquese.-</w:t>
      </w:r>
    </w:p>
    <w:p w:rsidR="00783767" w:rsidRPr="00E964A6" w:rsidRDefault="00783767" w:rsidP="00783767">
      <w:pPr>
        <w:shd w:val="clear" w:color="auto" w:fill="FFFFFF"/>
        <w:spacing w:line="360" w:lineRule="auto"/>
        <w:jc w:val="both"/>
        <w:rPr>
          <w:rFonts w:ascii="Verdana" w:eastAsia="Quattrocento Sans" w:hAnsi="Verdana" w:cs="Quattrocento Sans"/>
          <w:color w:val="212529"/>
        </w:rPr>
      </w:pPr>
    </w:p>
    <w:p w:rsidR="00783767" w:rsidRPr="00CC603F"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Default="00783767" w:rsidP="00783767">
      <w:pPr>
        <w:shd w:val="clear" w:color="auto" w:fill="FFFFFF"/>
        <w:jc w:val="both"/>
        <w:rPr>
          <w:rFonts w:ascii="Verdana" w:eastAsia="Quattrocento Sans" w:hAnsi="Verdana" w:cs="Quattrocento Sans"/>
          <w:color w:val="212529"/>
        </w:rPr>
      </w:pPr>
    </w:p>
    <w:p w:rsidR="00783767" w:rsidRPr="00CC603F" w:rsidRDefault="00783767" w:rsidP="00783767">
      <w:pPr>
        <w:shd w:val="clear" w:color="auto" w:fill="FFFFFF"/>
        <w:jc w:val="both"/>
        <w:rPr>
          <w:rFonts w:ascii="Verdana" w:eastAsia="Quattrocento Sans" w:hAnsi="Verdana" w:cs="Quattrocento Sans"/>
          <w:color w:val="212529"/>
        </w:rPr>
      </w:pPr>
    </w:p>
    <w:p w:rsidR="00783767" w:rsidRPr="00CC603F" w:rsidRDefault="00783767" w:rsidP="00783767">
      <w:pPr>
        <w:shd w:val="clear" w:color="auto" w:fill="FFFFFF"/>
        <w:jc w:val="both"/>
        <w:rPr>
          <w:rFonts w:ascii="Verdana" w:eastAsia="Quattrocento Sans" w:hAnsi="Verdana" w:cs="Quattrocento Sans"/>
          <w:color w:val="212529"/>
        </w:rPr>
      </w:pPr>
    </w:p>
    <w:p w:rsidR="00783767" w:rsidRPr="00783767" w:rsidRDefault="00783767" w:rsidP="00783767">
      <w:pPr>
        <w:shd w:val="clear" w:color="auto" w:fill="FFFFFF"/>
        <w:ind w:firstLine="851"/>
        <w:jc w:val="center"/>
        <w:rPr>
          <w:rFonts w:ascii="Verdana" w:eastAsia="Quattrocento Sans" w:hAnsi="Verdana" w:cs="Quattrocento Sans"/>
          <w:b/>
          <w:color w:val="212529"/>
        </w:rPr>
      </w:pPr>
      <w:r w:rsidRPr="00783767">
        <w:rPr>
          <w:rFonts w:ascii="Verdana" w:eastAsia="Quattrocento Sans" w:hAnsi="Verdana" w:cs="Quattrocento Sans"/>
          <w:b/>
          <w:color w:val="212529"/>
        </w:rPr>
        <w:t>Fundamentos</w:t>
      </w:r>
    </w:p>
    <w:p w:rsidR="00783767" w:rsidRPr="00CC603F" w:rsidRDefault="00783767" w:rsidP="00783767">
      <w:pPr>
        <w:shd w:val="clear" w:color="auto" w:fill="FFFFFF"/>
        <w:ind w:firstLine="851"/>
        <w:jc w:val="both"/>
        <w:rPr>
          <w:rFonts w:ascii="Verdana" w:eastAsia="Quattrocento Sans" w:hAnsi="Verdana" w:cs="Quattrocento Sans"/>
          <w:color w:val="212529"/>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En los Tribunales Federales Penales de la provincia de Entre Ríos, como en todas las provincias de nuestro país, se llevan a cabo diversos juicios contra los responsables de los crímenes de lesa humanidad cometidos durante la última dictadura cívico militar.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Estos juicios son un escenario privilegiado para la comprensión de estos hechos, a la vez que constituyen una herramienta eficaz para revertir las consecuencias reorganizadoras de las prácticas sociales genocidas a las que se vio sometido nuestro país.</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Nuestro país tiene como parte constitutiva de su identidad al movimiento de derechos humanos que es uno de los movimientos más exitosos en la región en cuanto a movilización social, perseverancia, creatividad y conquistas en términos políticos y jurídicos.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El reclamo por Memoria, Verdad y Justicia por parte de este movimiento constituyó un modo de protesta apoyada en un reclamo ético humanitario que logró articular un proyecto político de democratización de nuestro país como “contenidos mínimos” que guiaron ese proceso de transición democrática y que sigue vigente hasta nuestros días.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La lucha del movimiento de derechos humanos en argentina, es la historia también de la lucha contra la impunidad. Una impunidad que debe entenderse como lo que intentaron implementar los genocidas, el olvido y la desaparición de una praxis socio política o militante cuestionadora del orden existente.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A través de la anulación de las leyes de Obediencia Debida y Punto Final y de los indultos que garantizaron la impunidad de los perpetradores de lo estos hechos atroces, el Estado asumió su responsabilidad y lleva a cabo diversas políticas públicas para robustecer ese proceso de Memoria, Verdad y Justicia que cotidianamente se consolida.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Y es así como los tribunales judiciales de todo el país se convierten en uno de los escenarios principales para dar las disputas de sentidos y traer, a través de los testimonios de víctimas y familiares, no solo los horrores </w:t>
      </w:r>
      <w:r w:rsidRPr="00CC603F">
        <w:rPr>
          <w:rFonts w:ascii="Verdana" w:eastAsia="Tahoma" w:hAnsi="Verdana" w:cs="Tahoma"/>
        </w:rPr>
        <w:lastRenderedPageBreak/>
        <w:t xml:space="preserve">cometidos a través del terror de Estado sino también las diversas formas de resistencia a la dictadura </w:t>
      </w:r>
      <w:proofErr w:type="spellStart"/>
      <w:r w:rsidRPr="00CC603F">
        <w:rPr>
          <w:rFonts w:ascii="Verdana" w:eastAsia="Tahoma" w:hAnsi="Verdana" w:cs="Tahoma"/>
        </w:rPr>
        <w:t>desaparecedora</w:t>
      </w:r>
      <w:proofErr w:type="spellEnd"/>
      <w:r w:rsidRPr="00CC603F">
        <w:rPr>
          <w:rFonts w:ascii="Verdana" w:eastAsia="Tahoma" w:hAnsi="Verdana" w:cs="Tahoma"/>
        </w:rPr>
        <w:t xml:space="preserve">.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En nuestra provincia, las causas que investigan hechos ocurridos en la costa del Paraná, esto es: Paraná, Diamante, Gualeguay, </w:t>
      </w:r>
      <w:proofErr w:type="spellStart"/>
      <w:r w:rsidRPr="00CC603F">
        <w:rPr>
          <w:rFonts w:ascii="Verdana" w:eastAsia="Tahoma" w:hAnsi="Verdana" w:cs="Tahoma"/>
        </w:rPr>
        <w:t>Villaguay</w:t>
      </w:r>
      <w:proofErr w:type="spellEnd"/>
      <w:r w:rsidRPr="00CC603F">
        <w:rPr>
          <w:rFonts w:ascii="Verdana" w:eastAsia="Tahoma" w:hAnsi="Verdana" w:cs="Tahoma"/>
        </w:rPr>
        <w:t xml:space="preserve">, entre otras  están radicadas en el Juzgado Federal de Paraná e interviene en los debates el Tribunal Oral Federal de Paraná.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Los hechos ocurridos en la costa del Uruguay, esto es: Concordia, Concepción del Uruguay, Gualeguaychú y otras localidades están radicadas en el Juzgado Federal de Concepción del Uruguay e interviene en los debates orales el Tribunal Oral Federal de Concepción del Uruguay recientemente integrado.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 xml:space="preserve">Si bien las sentencias ante los Tribunales Orales no hacen cosa juzgada se entiende que sus resoluciones, audiencias y demás actos que se llevan a cabo durante los debates orales son parte del acervo patrimonial de la historia de nuestro país y particularmente una herramienta fundamental para poder reconstruir la memoria y la verdad de lo que fue el terrorismo de Estado en nuestra provincia. </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spacing w:line="276" w:lineRule="auto"/>
        <w:jc w:val="both"/>
        <w:rPr>
          <w:rFonts w:ascii="Verdana" w:eastAsia="Tahoma" w:hAnsi="Verdana" w:cs="Tahoma"/>
        </w:rPr>
      </w:pPr>
      <w:r w:rsidRPr="00CC603F">
        <w:rPr>
          <w:rFonts w:ascii="Verdana" w:eastAsia="Tahoma" w:hAnsi="Verdana" w:cs="Tahoma"/>
        </w:rPr>
        <w:t>Por los motivos antes expuestos, solicitamos a nuestros pares que acompañen el presente Proyecto de Ley.</w:t>
      </w:r>
    </w:p>
    <w:p w:rsidR="00783767" w:rsidRPr="00CC603F" w:rsidRDefault="00783767" w:rsidP="00783767">
      <w:pPr>
        <w:spacing w:line="276" w:lineRule="auto"/>
        <w:jc w:val="both"/>
        <w:rPr>
          <w:rFonts w:ascii="Verdana" w:eastAsia="Tahoma" w:hAnsi="Verdana" w:cs="Tahoma"/>
        </w:rPr>
      </w:pPr>
    </w:p>
    <w:p w:rsidR="00783767" w:rsidRPr="00CC603F" w:rsidRDefault="00783767" w:rsidP="00783767">
      <w:pPr>
        <w:jc w:val="right"/>
        <w:rPr>
          <w:rFonts w:ascii="Verdana" w:eastAsia="Verdana" w:hAnsi="Verdana" w:cs="Verdana"/>
        </w:rPr>
      </w:pPr>
    </w:p>
    <w:p w:rsidR="00783767" w:rsidRPr="00CC603F" w:rsidRDefault="00783767" w:rsidP="00783767">
      <w:pPr>
        <w:rPr>
          <w:rFonts w:ascii="Verdana" w:hAnsi="Verdana"/>
        </w:rPr>
      </w:pPr>
    </w:p>
    <w:p w:rsidR="00492D3F" w:rsidRDefault="00C34F6E"/>
    <w:sectPr w:rsidR="00492D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Quattrocento Sans">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70"/>
    <w:rsid w:val="00357F14"/>
    <w:rsid w:val="003F5870"/>
    <w:rsid w:val="005448DE"/>
    <w:rsid w:val="005E086B"/>
    <w:rsid w:val="00783767"/>
    <w:rsid w:val="00AA15E0"/>
    <w:rsid w:val="00C34F6E"/>
    <w:rsid w:val="00FB56C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826E9-F761-4089-B9D9-15B6C7FA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87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867</Words>
  <Characters>4774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cp:lastPrinted>2022-03-21T15:46:00Z</cp:lastPrinted>
  <dcterms:created xsi:type="dcterms:W3CDTF">2022-03-18T16:23:00Z</dcterms:created>
  <dcterms:modified xsi:type="dcterms:W3CDTF">2022-03-21T15:47:00Z</dcterms:modified>
</cp:coreProperties>
</file>