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Default="00BD21EB" w:rsidP="00A642F0">
      <w:pPr>
        <w:jc w:val="center"/>
      </w:pPr>
    </w:p>
    <w:p w:rsidR="00D307F3" w:rsidRPr="001B60E2" w:rsidRDefault="00D307F3" w:rsidP="00D307F3">
      <w:pPr>
        <w:pStyle w:val="Textoindependiente"/>
        <w:spacing w:line="360" w:lineRule="auto"/>
        <w:jc w:val="center"/>
        <w:rPr>
          <w:rFonts w:ascii="Times New Roman" w:hAnsi="Times New Roman" w:cs="Times New Roman"/>
          <w:spacing w:val="-6"/>
        </w:rPr>
      </w:pPr>
      <w:r w:rsidRPr="001B60E2">
        <w:rPr>
          <w:rFonts w:ascii="Times New Roman" w:hAnsi="Times New Roman" w:cs="Times New Roman"/>
          <w:spacing w:val="-6"/>
        </w:rPr>
        <w:t>LA LEGISLATURA DE LA PROVINCIA DE ENTRE RÍOS SANCIONA CON FUERZA DE</w:t>
      </w:r>
    </w:p>
    <w:p w:rsidR="00B26D31" w:rsidRPr="00E945AB" w:rsidRDefault="00D307F3" w:rsidP="00E945AB">
      <w:pPr>
        <w:spacing w:line="360" w:lineRule="auto"/>
        <w:jc w:val="center"/>
        <w:rPr>
          <w:b/>
        </w:rPr>
      </w:pPr>
      <w:r w:rsidRPr="001B60E2">
        <w:rPr>
          <w:b/>
        </w:rPr>
        <w:t>L E Y:</w:t>
      </w:r>
    </w:p>
    <w:p w:rsidR="00B26D31" w:rsidRPr="00B26D31" w:rsidRDefault="00B26D31"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 xml:space="preserve">Artículo 1°: </w:t>
      </w:r>
      <w:proofErr w:type="spellStart"/>
      <w:r>
        <w:rPr>
          <w:rFonts w:ascii="Arial" w:eastAsia="Times New Roman" w:hAnsi="Arial" w:cs="Arial"/>
          <w:bCs/>
          <w:sz w:val="24"/>
          <w:szCs w:val="24"/>
          <w:bdr w:val="none" w:sz="0" w:space="0" w:color="auto" w:frame="1"/>
          <w:lang w:eastAsia="es-AR"/>
        </w:rPr>
        <w:t>Modifí</w:t>
      </w:r>
      <w:r w:rsidRPr="00B26D31">
        <w:rPr>
          <w:rFonts w:ascii="Arial" w:eastAsia="Times New Roman" w:hAnsi="Arial" w:cs="Arial"/>
          <w:bCs/>
          <w:sz w:val="24"/>
          <w:szCs w:val="24"/>
          <w:bdr w:val="none" w:sz="0" w:space="0" w:color="auto" w:frame="1"/>
          <w:lang w:eastAsia="es-AR"/>
        </w:rPr>
        <w:t>case</w:t>
      </w:r>
      <w:proofErr w:type="spellEnd"/>
      <w:r w:rsidRPr="00B26D31">
        <w:rPr>
          <w:rFonts w:ascii="Arial" w:eastAsia="Times New Roman" w:hAnsi="Arial" w:cs="Arial"/>
          <w:bCs/>
          <w:sz w:val="24"/>
          <w:szCs w:val="24"/>
          <w:bdr w:val="none" w:sz="0" w:space="0" w:color="auto" w:frame="1"/>
          <w:lang w:eastAsia="es-AR"/>
        </w:rPr>
        <w:t xml:space="preserve"> el artículo </w:t>
      </w:r>
      <w:r w:rsidR="004D11F1">
        <w:rPr>
          <w:rFonts w:ascii="Arial" w:eastAsia="Times New Roman" w:hAnsi="Arial" w:cs="Arial"/>
          <w:bCs/>
          <w:sz w:val="24"/>
          <w:szCs w:val="24"/>
          <w:bdr w:val="none" w:sz="0" w:space="0" w:color="auto" w:frame="1"/>
          <w:lang w:eastAsia="es-AR"/>
        </w:rPr>
        <w:t>119</w:t>
      </w:r>
      <w:r w:rsidRPr="00B26D31">
        <w:rPr>
          <w:rFonts w:ascii="Arial" w:eastAsia="Times New Roman" w:hAnsi="Arial" w:cs="Arial"/>
          <w:bCs/>
          <w:sz w:val="24"/>
          <w:szCs w:val="24"/>
          <w:bdr w:val="none" w:sz="0" w:space="0" w:color="auto" w:frame="1"/>
          <w:lang w:eastAsia="es-AR"/>
        </w:rPr>
        <w:t xml:space="preserve">° de la ley N° </w:t>
      </w:r>
      <w:r w:rsidR="00427DA7">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xml:space="preserve">, el cual quedará redactado de la siguiente manera: </w:t>
      </w:r>
    </w:p>
    <w:p w:rsidR="00B26D31" w:rsidRDefault="00B26D31"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p>
    <w:p w:rsidR="00427DA7" w:rsidRPr="00E945AB" w:rsidRDefault="00247A1D" w:rsidP="00E945AB">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 xml:space="preserve">ARTICULO 119º.- En cumplimiento de lo dispuesto en el Artículo anterior, los Municipios podrán crear Tribunales de Faltas Municipales, lo que estará a cargo de jueces titulares designados por el Departamento Ejecutivo Municipal previo acuerdo por la mitad más uno de los miembros del Concejo Deliberante. La designación del Juez de Faltas debe realizarse a través de un </w:t>
      </w:r>
      <w:r w:rsidR="004D11F1">
        <w:rPr>
          <w:rFonts w:ascii="Arial" w:eastAsia="Times New Roman" w:hAnsi="Arial" w:cs="Arial"/>
          <w:sz w:val="24"/>
          <w:szCs w:val="24"/>
          <w:lang w:eastAsia="es-ES"/>
        </w:rPr>
        <w:t xml:space="preserve">concurso público de antecedentes y oposición, </w:t>
      </w:r>
      <w:r w:rsidRPr="001B0516">
        <w:rPr>
          <w:rFonts w:ascii="Arial" w:eastAsia="Times New Roman" w:hAnsi="Arial" w:cs="Arial"/>
          <w:sz w:val="24"/>
          <w:szCs w:val="24"/>
          <w:lang w:eastAsia="es-ES"/>
        </w:rPr>
        <w:t>que garantice el cumplimiento del requisito de idoneidad. A tal objeto, el municipio podrá solicitar la intervención del Consejo de la Magistratura de la Provincia. Será inamovible mientras dure su buena conducta y cumpla con sus obligaciones legales. Podrá ser removido, por el voto de los dos tercios de la totalidad de los miembros del Concejo Deliberante respectivo, cuando no observe buena conducta, no cumpla con sus obligaciones legales, cometa delito doloso o por inhabilidad física o mental, aplicándose en estos casos el procedimiento establecido para las sanciones y remoción de los concejales, previa instrucción de un sumario por el que se garantice debidam</w:t>
      </w:r>
      <w:r w:rsidR="004D11F1">
        <w:rPr>
          <w:rFonts w:ascii="Arial" w:eastAsia="Times New Roman" w:hAnsi="Arial" w:cs="Arial"/>
          <w:sz w:val="24"/>
          <w:szCs w:val="24"/>
          <w:lang w:eastAsia="es-ES"/>
        </w:rPr>
        <w:t>ente el derecho de defensa.-</w:t>
      </w:r>
    </w:p>
    <w:p w:rsidR="00B26D31" w:rsidRPr="00B26D31" w:rsidRDefault="00E945AB" w:rsidP="00B26D31">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sidRPr="002D7721">
        <w:rPr>
          <w:rFonts w:ascii="Arial" w:hAnsi="Arial" w:cs="Arial"/>
          <w:noProof/>
          <w:sz w:val="24"/>
          <w:szCs w:val="24"/>
          <w:lang w:eastAsia="es-AR"/>
        </w:rPr>
        <w:drawing>
          <wp:anchor distT="0" distB="0" distL="114300" distR="114300" simplePos="0" relativeHeight="251658240" behindDoc="1" locked="0" layoutInCell="1" allowOverlap="1" wp14:anchorId="6DFC4461" wp14:editId="01D82744">
            <wp:simplePos x="0" y="0"/>
            <wp:positionH relativeFrom="column">
              <wp:posOffset>3634740</wp:posOffset>
            </wp:positionH>
            <wp:positionV relativeFrom="paragraph">
              <wp:posOffset>647065</wp:posOffset>
            </wp:positionV>
            <wp:extent cx="1689100" cy="1253490"/>
            <wp:effectExtent l="0" t="0" r="6350" b="3810"/>
            <wp:wrapThrough wrapText="bothSides">
              <wp:wrapPolygon edited="0">
                <wp:start x="0" y="0"/>
                <wp:lineTo x="0" y="21337"/>
                <wp:lineTo x="21438" y="21337"/>
                <wp:lineTo x="21438" y="0"/>
                <wp:lineTo x="0" y="0"/>
              </wp:wrapPolygon>
            </wp:wrapThrough>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100" cy="1253490"/>
                    </a:xfrm>
                    <a:prstGeom prst="rect">
                      <a:avLst/>
                    </a:prstGeom>
                  </pic:spPr>
                </pic:pic>
              </a:graphicData>
            </a:graphic>
            <wp14:sizeRelH relativeFrom="page">
              <wp14:pctWidth>0</wp14:pctWidth>
            </wp14:sizeRelH>
            <wp14:sizeRelV relativeFrom="page">
              <wp14:pctHeight>0</wp14:pctHeight>
            </wp14:sizeRelV>
          </wp:anchor>
        </w:drawing>
      </w:r>
      <w:r w:rsidR="00B26D31">
        <w:rPr>
          <w:rFonts w:ascii="Arial" w:eastAsia="Times New Roman" w:hAnsi="Arial" w:cs="Arial"/>
          <w:b/>
          <w:bCs/>
          <w:sz w:val="24"/>
          <w:szCs w:val="24"/>
          <w:bdr w:val="none" w:sz="0" w:space="0" w:color="auto" w:frame="1"/>
          <w:lang w:eastAsia="es-AR"/>
        </w:rPr>
        <w:t>“</w:t>
      </w:r>
      <w:r w:rsidR="00F6347E" w:rsidRPr="00F6347E">
        <w:rPr>
          <w:rFonts w:ascii="Arial" w:eastAsia="Times New Roman" w:hAnsi="Arial" w:cs="Arial"/>
          <w:b/>
          <w:bCs/>
          <w:sz w:val="24"/>
          <w:szCs w:val="24"/>
          <w:bdr w:val="none" w:sz="0" w:space="0" w:color="auto" w:frame="1"/>
          <w:lang w:eastAsia="es-AR"/>
        </w:rPr>
        <w:t>Artículo 2º –</w:t>
      </w:r>
      <w:r w:rsidR="00F6347E" w:rsidRPr="00F6347E">
        <w:rPr>
          <w:rFonts w:ascii="Arial" w:eastAsia="Times New Roman" w:hAnsi="Arial" w:cs="Arial"/>
          <w:sz w:val="24"/>
          <w:szCs w:val="24"/>
          <w:bdr w:val="none" w:sz="0" w:space="0" w:color="auto" w:frame="1"/>
          <w:lang w:eastAsia="es-AR"/>
        </w:rPr>
        <w:t> </w:t>
      </w:r>
      <w:r w:rsidR="00B26D31">
        <w:rPr>
          <w:rFonts w:ascii="Arial" w:eastAsia="Times New Roman" w:hAnsi="Arial" w:cs="Arial"/>
          <w:b/>
          <w:bCs/>
          <w:sz w:val="24"/>
          <w:szCs w:val="24"/>
          <w:bdr w:val="none" w:sz="0" w:space="0" w:color="auto" w:frame="1"/>
          <w:lang w:eastAsia="es-AR"/>
        </w:rPr>
        <w:t xml:space="preserve"> </w:t>
      </w:r>
      <w:r w:rsidR="00B26D31">
        <w:rPr>
          <w:rFonts w:ascii="Arial" w:eastAsia="Times New Roman" w:hAnsi="Arial" w:cs="Arial"/>
          <w:bCs/>
          <w:sz w:val="24"/>
          <w:szCs w:val="24"/>
          <w:bdr w:val="none" w:sz="0" w:space="0" w:color="auto" w:frame="1"/>
          <w:lang w:eastAsia="es-AR"/>
        </w:rPr>
        <w:t>De forma.</w:t>
      </w:r>
    </w:p>
    <w:p w:rsidR="00B26D31" w:rsidRPr="00F6347E" w:rsidRDefault="00B26D31"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r w:rsidRPr="00F6347E">
        <w:rPr>
          <w:rFonts w:ascii="Arial" w:eastAsia="Times New Roman" w:hAnsi="Arial" w:cs="Arial"/>
          <w:sz w:val="24"/>
          <w:szCs w:val="24"/>
          <w:bdr w:val="none" w:sz="0" w:space="0" w:color="auto" w:frame="1"/>
          <w:lang w:eastAsia="es-AR"/>
        </w:rPr>
        <w:tab/>
      </w:r>
    </w:p>
    <w:p w:rsidR="00F6347E" w:rsidRPr="00F6347E" w:rsidRDefault="00F6347E" w:rsidP="00F6347E">
      <w:pPr>
        <w:jc w:val="both"/>
        <w:rPr>
          <w:rFonts w:ascii="Arial" w:hAnsi="Arial" w:cs="Arial"/>
          <w:sz w:val="24"/>
          <w:szCs w:val="24"/>
        </w:rPr>
      </w:pPr>
    </w:p>
    <w:p w:rsidR="00E945AB" w:rsidRPr="00DD52EC" w:rsidRDefault="00E945AB" w:rsidP="00E945AB">
      <w:pPr>
        <w:spacing w:line="360" w:lineRule="auto"/>
        <w:jc w:val="center"/>
        <w:rPr>
          <w:rFonts w:ascii="Arial" w:hAnsi="Arial" w:cs="Arial"/>
          <w:sz w:val="24"/>
          <w:szCs w:val="24"/>
        </w:rPr>
      </w:pPr>
      <w:r w:rsidRPr="00DD52EC">
        <w:rPr>
          <w:rFonts w:ascii="Arial" w:hAnsi="Arial" w:cs="Arial"/>
          <w:sz w:val="24"/>
          <w:szCs w:val="24"/>
        </w:rPr>
        <w:lastRenderedPageBreak/>
        <w:t>Fundamentos</w:t>
      </w:r>
    </w:p>
    <w:p w:rsidR="00E945AB" w:rsidRDefault="00E945AB" w:rsidP="00E945AB">
      <w:pPr>
        <w:spacing w:line="360" w:lineRule="auto"/>
        <w:jc w:val="both"/>
        <w:rPr>
          <w:rFonts w:ascii="Arial" w:eastAsia="Times New Roman" w:hAnsi="Arial" w:cs="Arial"/>
          <w:sz w:val="24"/>
          <w:szCs w:val="24"/>
          <w:lang w:eastAsia="es-ES"/>
        </w:rPr>
      </w:pPr>
      <w:r>
        <w:rPr>
          <w:rFonts w:ascii="Arial" w:hAnsi="Arial" w:cs="Arial"/>
          <w:sz w:val="24"/>
          <w:szCs w:val="24"/>
        </w:rPr>
        <w:t>Visto que el artículo 119</w:t>
      </w:r>
      <w:r w:rsidRPr="00DD52EC">
        <w:rPr>
          <w:rFonts w:ascii="Arial" w:hAnsi="Arial" w:cs="Arial"/>
          <w:sz w:val="24"/>
          <w:szCs w:val="24"/>
        </w:rPr>
        <w:t xml:space="preserve">° de la ley de régimen municipal, 10027, otorga como facultad del Concejo Deliberante, la </w:t>
      </w:r>
      <w:r>
        <w:rPr>
          <w:rFonts w:ascii="Arial" w:hAnsi="Arial" w:cs="Arial"/>
          <w:sz w:val="24"/>
          <w:szCs w:val="24"/>
        </w:rPr>
        <w:t>de d</w:t>
      </w:r>
      <w:r w:rsidRPr="00DD52EC">
        <w:rPr>
          <w:rFonts w:ascii="Arial" w:eastAsia="Times New Roman" w:hAnsi="Arial" w:cs="Arial"/>
          <w:sz w:val="24"/>
          <w:szCs w:val="24"/>
          <w:lang w:eastAsia="es-ES"/>
        </w:rPr>
        <w:t xml:space="preserve">esignar en </w:t>
      </w:r>
      <w:r>
        <w:rPr>
          <w:rFonts w:ascii="Arial" w:eastAsia="Times New Roman" w:hAnsi="Arial" w:cs="Arial"/>
          <w:sz w:val="24"/>
          <w:szCs w:val="24"/>
          <w:lang w:eastAsia="es-ES"/>
        </w:rPr>
        <w:t>los jueces de faltas</w:t>
      </w:r>
      <w:r w:rsidR="008202E3">
        <w:rPr>
          <w:rFonts w:ascii="Arial" w:eastAsia="Times New Roman" w:hAnsi="Arial" w:cs="Arial"/>
          <w:sz w:val="24"/>
          <w:szCs w:val="24"/>
          <w:lang w:eastAsia="es-ES"/>
        </w:rPr>
        <w:t>, a propuesta del Presidente Municipal</w:t>
      </w:r>
      <w:r>
        <w:rPr>
          <w:rFonts w:ascii="Arial" w:eastAsia="Times New Roman" w:hAnsi="Arial" w:cs="Arial"/>
          <w:sz w:val="24"/>
          <w:szCs w:val="24"/>
          <w:lang w:eastAsia="es-ES"/>
        </w:rPr>
        <w:t>.</w:t>
      </w:r>
    </w:p>
    <w:p w:rsidR="00E945AB" w:rsidRDefault="00E945AB" w:rsidP="00E945A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Que el ejercicio de esta competencia, ha sido dispar en la mayoría de los municipios, pero en pos de homogeneizar se considera necesario establecer el mecanismo de </w:t>
      </w:r>
      <w:proofErr w:type="spellStart"/>
      <w:r w:rsidR="008202E3">
        <w:rPr>
          <w:rFonts w:ascii="Arial" w:eastAsia="Times New Roman" w:hAnsi="Arial" w:cs="Arial"/>
          <w:sz w:val="24"/>
          <w:szCs w:val="24"/>
          <w:lang w:eastAsia="es-ES"/>
        </w:rPr>
        <w:t>eleccion</w:t>
      </w:r>
      <w:proofErr w:type="spellEnd"/>
      <w:r>
        <w:rPr>
          <w:rFonts w:ascii="Arial" w:eastAsia="Times New Roman" w:hAnsi="Arial" w:cs="Arial"/>
          <w:sz w:val="24"/>
          <w:szCs w:val="24"/>
          <w:lang w:eastAsia="es-ES"/>
        </w:rPr>
        <w:t>.</w:t>
      </w:r>
    </w:p>
    <w:p w:rsidR="00E945AB" w:rsidRDefault="00E945AB" w:rsidP="00E945A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Por lo que no vemos motivo alguno para que no se aplique un procedimiento de oposición y antecedentes, considerando que el mismo (concurso) es e</w:t>
      </w:r>
      <w:r w:rsidR="008202E3">
        <w:rPr>
          <w:rFonts w:ascii="Arial" w:eastAsia="Times New Roman" w:hAnsi="Arial" w:cs="Arial"/>
          <w:sz w:val="24"/>
          <w:szCs w:val="24"/>
          <w:lang w:eastAsia="es-ES"/>
        </w:rPr>
        <w:t xml:space="preserve">l mecanismo para demostrar </w:t>
      </w:r>
      <w:r>
        <w:rPr>
          <w:rFonts w:ascii="Arial" w:eastAsia="Times New Roman" w:hAnsi="Arial" w:cs="Arial"/>
          <w:sz w:val="24"/>
          <w:szCs w:val="24"/>
          <w:lang w:eastAsia="es-ES"/>
        </w:rPr>
        <w:t xml:space="preserve"> las personas idóneas para el cargo</w:t>
      </w:r>
      <w:r w:rsidR="008202E3">
        <w:rPr>
          <w:rFonts w:ascii="Arial" w:eastAsia="Times New Roman" w:hAnsi="Arial" w:cs="Arial"/>
          <w:sz w:val="24"/>
          <w:szCs w:val="24"/>
          <w:lang w:eastAsia="es-ES"/>
        </w:rPr>
        <w:t>,</w:t>
      </w:r>
      <w:r>
        <w:rPr>
          <w:rFonts w:ascii="Arial" w:eastAsia="Times New Roman" w:hAnsi="Arial" w:cs="Arial"/>
          <w:sz w:val="24"/>
          <w:szCs w:val="24"/>
          <w:lang w:eastAsia="es-ES"/>
        </w:rPr>
        <w:t xml:space="preserve"> conforme a un criterio objetivo.</w:t>
      </w:r>
    </w:p>
    <w:p w:rsidR="00E945AB" w:rsidRDefault="00E945AB" w:rsidP="00E945A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Por este motivo,  creemos conveniente permitir – tal como está previsto </w:t>
      </w:r>
      <w:bookmarkStart w:id="0" w:name="_GoBack"/>
      <w:bookmarkEnd w:id="0"/>
      <w:r>
        <w:rPr>
          <w:rFonts w:ascii="Arial" w:eastAsia="Times New Roman" w:hAnsi="Arial" w:cs="Arial"/>
          <w:sz w:val="24"/>
          <w:szCs w:val="24"/>
          <w:lang w:eastAsia="es-ES"/>
        </w:rPr>
        <w:t xml:space="preserve">la celebración de convenios con el Consejo de la Magistratura. </w:t>
      </w:r>
    </w:p>
    <w:p w:rsidR="00E945AB" w:rsidRDefault="00E945AB" w:rsidP="00E945A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Y en el caso de no considerarlo necesario, la celebración de un concurso de antecedentes y oposición, debiéndose dictar previamente las normas de rigor en cuanto a puntajes, y etapas a cumplir.</w:t>
      </w:r>
    </w:p>
    <w:p w:rsidR="00E945AB" w:rsidRDefault="00E945AB" w:rsidP="00E945A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Siendo estas quienes a través del dictado del reglamento administrativo respectivo, ponderarán en la distribución de puntajes, las condiciones y el perfil que se quiere obtener en dicho procedimiento. Permitiendo que todas las abogadas y abogadas puedan aspirar legítimamente a ser elegidos. </w:t>
      </w:r>
    </w:p>
    <w:p w:rsidR="00E945AB" w:rsidRPr="00DD52EC" w:rsidRDefault="00E945AB" w:rsidP="00E945AB">
      <w:pPr>
        <w:spacing w:line="360" w:lineRule="auto"/>
        <w:jc w:val="both"/>
        <w:rPr>
          <w:rFonts w:ascii="Arial" w:eastAsia="Times New Roman" w:hAnsi="Arial" w:cs="Arial"/>
          <w:sz w:val="24"/>
          <w:szCs w:val="24"/>
          <w:lang w:eastAsia="es-ES"/>
        </w:rPr>
      </w:pPr>
    </w:p>
    <w:p w:rsidR="00E945AB" w:rsidRDefault="00E945AB" w:rsidP="003A34F1">
      <w:pPr>
        <w:spacing w:line="360" w:lineRule="auto"/>
        <w:jc w:val="right"/>
        <w:rPr>
          <w:rFonts w:ascii="Arial" w:hAnsi="Arial" w:cs="Arial"/>
          <w:sz w:val="24"/>
          <w:szCs w:val="24"/>
        </w:rPr>
      </w:pPr>
    </w:p>
    <w:sectPr w:rsidR="00E945AB"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68" w:rsidRDefault="00F96A68" w:rsidP="00DF78C2">
      <w:pPr>
        <w:spacing w:after="0" w:line="240" w:lineRule="auto"/>
      </w:pPr>
      <w:r>
        <w:separator/>
      </w:r>
    </w:p>
  </w:endnote>
  <w:endnote w:type="continuationSeparator" w:id="0">
    <w:p w:rsidR="00F96A68" w:rsidRDefault="00F96A68"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68" w:rsidRDefault="00F96A68" w:rsidP="00DF78C2">
      <w:pPr>
        <w:spacing w:after="0" w:line="240" w:lineRule="auto"/>
      </w:pPr>
      <w:r>
        <w:separator/>
      </w:r>
    </w:p>
  </w:footnote>
  <w:footnote w:type="continuationSeparator" w:id="0">
    <w:p w:rsidR="00F96A68" w:rsidRDefault="00F96A68"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B5341"/>
    <w:rsid w:val="000C0F11"/>
    <w:rsid w:val="000D6593"/>
    <w:rsid w:val="00244D66"/>
    <w:rsid w:val="00247A1D"/>
    <w:rsid w:val="00295016"/>
    <w:rsid w:val="002B2AC9"/>
    <w:rsid w:val="002B65AF"/>
    <w:rsid w:val="002C3526"/>
    <w:rsid w:val="002D7721"/>
    <w:rsid w:val="002E2E7E"/>
    <w:rsid w:val="003569D9"/>
    <w:rsid w:val="00360094"/>
    <w:rsid w:val="003A34F1"/>
    <w:rsid w:val="003D4411"/>
    <w:rsid w:val="00402356"/>
    <w:rsid w:val="00427DA7"/>
    <w:rsid w:val="00493875"/>
    <w:rsid w:val="004D11F1"/>
    <w:rsid w:val="004E2A00"/>
    <w:rsid w:val="004F34D4"/>
    <w:rsid w:val="005040EE"/>
    <w:rsid w:val="00651AD8"/>
    <w:rsid w:val="00673E38"/>
    <w:rsid w:val="006C72C3"/>
    <w:rsid w:val="0070009D"/>
    <w:rsid w:val="00703330"/>
    <w:rsid w:val="00776824"/>
    <w:rsid w:val="00790735"/>
    <w:rsid w:val="007921DF"/>
    <w:rsid w:val="007C3E59"/>
    <w:rsid w:val="008159C2"/>
    <w:rsid w:val="008202E3"/>
    <w:rsid w:val="00831455"/>
    <w:rsid w:val="008378A7"/>
    <w:rsid w:val="008B13DB"/>
    <w:rsid w:val="00956E4D"/>
    <w:rsid w:val="00971E8D"/>
    <w:rsid w:val="00995495"/>
    <w:rsid w:val="00A642F0"/>
    <w:rsid w:val="00A979A6"/>
    <w:rsid w:val="00AE5963"/>
    <w:rsid w:val="00AE5B48"/>
    <w:rsid w:val="00B21434"/>
    <w:rsid w:val="00B26D31"/>
    <w:rsid w:val="00B65AA4"/>
    <w:rsid w:val="00BC3A05"/>
    <w:rsid w:val="00BD21EB"/>
    <w:rsid w:val="00BF0974"/>
    <w:rsid w:val="00BF73B5"/>
    <w:rsid w:val="00C07FBD"/>
    <w:rsid w:val="00C455B0"/>
    <w:rsid w:val="00C72565"/>
    <w:rsid w:val="00C77A41"/>
    <w:rsid w:val="00D15766"/>
    <w:rsid w:val="00D2732B"/>
    <w:rsid w:val="00D307F3"/>
    <w:rsid w:val="00D81520"/>
    <w:rsid w:val="00D830B4"/>
    <w:rsid w:val="00DD3C45"/>
    <w:rsid w:val="00DE6067"/>
    <w:rsid w:val="00DF5493"/>
    <w:rsid w:val="00DF78C2"/>
    <w:rsid w:val="00E4051B"/>
    <w:rsid w:val="00E945AB"/>
    <w:rsid w:val="00EE79CF"/>
    <w:rsid w:val="00F2558A"/>
    <w:rsid w:val="00F51D2C"/>
    <w:rsid w:val="00F6347E"/>
    <w:rsid w:val="00F96A68"/>
    <w:rsid w:val="00FB0DE2"/>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FD561-E370-465A-97E1-21E9064A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6</cp:revision>
  <dcterms:created xsi:type="dcterms:W3CDTF">2020-09-26T22:32:00Z</dcterms:created>
  <dcterms:modified xsi:type="dcterms:W3CDTF">2022-04-19T14:11:00Z</dcterms:modified>
</cp:coreProperties>
</file>