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931" w:rsidRDefault="00665931" w:rsidP="00B07B03">
      <w:pPr>
        <w:shd w:val="clear" w:color="auto" w:fill="FFFFFF"/>
        <w:spacing w:line="360" w:lineRule="auto"/>
        <w:jc w:val="both"/>
        <w:rPr>
          <w:rFonts w:ascii="Arial" w:eastAsia="Times New Roman" w:hAnsi="Arial" w:cs="Arial"/>
          <w:b/>
          <w:sz w:val="24"/>
          <w:szCs w:val="24"/>
        </w:rPr>
      </w:pPr>
      <w:bookmarkStart w:id="0" w:name="_GoBack"/>
      <w:bookmarkEnd w:id="0"/>
      <w:r w:rsidRPr="00A0264E">
        <w:rPr>
          <w:rFonts w:ascii="Arial" w:eastAsia="Times New Roman" w:hAnsi="Arial" w:cs="Arial"/>
          <w:b/>
          <w:sz w:val="24"/>
          <w:szCs w:val="24"/>
        </w:rPr>
        <w:t>FUNDAMENTOS</w:t>
      </w:r>
    </w:p>
    <w:p w:rsidR="00561D07" w:rsidRPr="00561D07" w:rsidRDefault="00FF721B" w:rsidP="00561D07">
      <w:pPr>
        <w:spacing w:line="360" w:lineRule="auto"/>
        <w:jc w:val="both"/>
        <w:rPr>
          <w:rFonts w:ascii="Arial" w:hAnsi="Arial" w:cs="Arial"/>
          <w:sz w:val="24"/>
          <w:szCs w:val="24"/>
        </w:rPr>
      </w:pPr>
      <w:r>
        <w:rPr>
          <w:rFonts w:ascii="Arial" w:hAnsi="Arial" w:cs="Arial"/>
          <w:sz w:val="24"/>
          <w:szCs w:val="24"/>
        </w:rPr>
        <w:br/>
      </w:r>
      <w:r w:rsidR="00561D07" w:rsidRPr="00561D07">
        <w:rPr>
          <w:rFonts w:ascii="Arial" w:hAnsi="Arial" w:cs="Arial"/>
          <w:sz w:val="24"/>
          <w:szCs w:val="24"/>
        </w:rPr>
        <w:t xml:space="preserve">El 25 de mayo de 1982 nace </w:t>
      </w:r>
      <w:r w:rsidR="00C33AB3" w:rsidRPr="00561D07">
        <w:rPr>
          <w:rFonts w:ascii="Arial" w:hAnsi="Arial" w:cs="Arial"/>
          <w:sz w:val="24"/>
          <w:szCs w:val="24"/>
        </w:rPr>
        <w:t xml:space="preserve">“Musicante”, </w:t>
      </w:r>
      <w:r w:rsidR="00561D07" w:rsidRPr="00561D07">
        <w:rPr>
          <w:rFonts w:ascii="Arial" w:hAnsi="Arial" w:cs="Arial"/>
          <w:sz w:val="24"/>
          <w:szCs w:val="24"/>
        </w:rPr>
        <w:t>un centro de actividades y expresiones culturale</w:t>
      </w:r>
      <w:r w:rsidR="00561D07">
        <w:rPr>
          <w:rFonts w:ascii="Arial" w:hAnsi="Arial" w:cs="Arial"/>
          <w:sz w:val="24"/>
          <w:szCs w:val="24"/>
        </w:rPr>
        <w:t xml:space="preserve">s de la ciudad de Gualeguaychú </w:t>
      </w:r>
      <w:r w:rsidR="00561D07" w:rsidRPr="00561D07">
        <w:rPr>
          <w:rFonts w:ascii="Arial" w:hAnsi="Arial" w:cs="Arial"/>
          <w:sz w:val="24"/>
          <w:szCs w:val="24"/>
        </w:rPr>
        <w:t>que mantiene, desde sus comienzos, un claro compromiso con el campo educativo, artístico y social</w:t>
      </w:r>
      <w:r w:rsidR="00561D07">
        <w:rPr>
          <w:rFonts w:ascii="Arial" w:hAnsi="Arial" w:cs="Arial"/>
          <w:sz w:val="24"/>
          <w:szCs w:val="24"/>
        </w:rPr>
        <w:t xml:space="preserve"> mediante la </w:t>
      </w:r>
      <w:r w:rsidR="00C33AB3">
        <w:rPr>
          <w:rFonts w:ascii="Arial" w:hAnsi="Arial" w:cs="Arial"/>
          <w:sz w:val="24"/>
          <w:szCs w:val="24"/>
        </w:rPr>
        <w:t>generación</w:t>
      </w:r>
      <w:r w:rsidR="00561D07">
        <w:rPr>
          <w:rFonts w:ascii="Arial" w:hAnsi="Arial" w:cs="Arial"/>
          <w:sz w:val="24"/>
          <w:szCs w:val="24"/>
        </w:rPr>
        <w:t xml:space="preserve"> de</w:t>
      </w:r>
      <w:r w:rsidR="00561D07" w:rsidRPr="00561D07">
        <w:rPr>
          <w:rFonts w:ascii="Arial" w:hAnsi="Arial" w:cs="Arial"/>
          <w:sz w:val="24"/>
          <w:szCs w:val="24"/>
        </w:rPr>
        <w:t xml:space="preserve"> espacios corales, de instrumento y otros</w:t>
      </w:r>
      <w:r w:rsidR="00C33AB3">
        <w:rPr>
          <w:rFonts w:ascii="Arial" w:hAnsi="Arial" w:cs="Arial"/>
          <w:sz w:val="24"/>
          <w:szCs w:val="24"/>
        </w:rPr>
        <w:t>.</w:t>
      </w:r>
      <w:r w:rsidR="00561D07" w:rsidRPr="00561D07">
        <w:rPr>
          <w:rFonts w:ascii="Arial" w:hAnsi="Arial" w:cs="Arial"/>
          <w:sz w:val="24"/>
          <w:szCs w:val="24"/>
        </w:rPr>
        <w:t xml:space="preserve"> </w:t>
      </w:r>
    </w:p>
    <w:p w:rsidR="00561D07" w:rsidRPr="00561D07" w:rsidRDefault="00561D07" w:rsidP="00561D07">
      <w:pPr>
        <w:spacing w:line="360" w:lineRule="auto"/>
        <w:jc w:val="both"/>
        <w:rPr>
          <w:rFonts w:ascii="Arial" w:hAnsi="Arial" w:cs="Arial"/>
          <w:sz w:val="24"/>
          <w:szCs w:val="24"/>
        </w:rPr>
      </w:pPr>
      <w:r w:rsidRPr="00561D07">
        <w:rPr>
          <w:rFonts w:ascii="Arial" w:hAnsi="Arial" w:cs="Arial"/>
          <w:sz w:val="24"/>
          <w:szCs w:val="24"/>
        </w:rPr>
        <w:t xml:space="preserve">A partir del año 1988 se inicia el proyecto de creación de una escuela de música de nivel terciario tramitando la misma ante la Dirección de Enseñanza Privada de la Provincia de Entre Ríos. Finalmente, en el año 1991 se crea el profesorado de Educación Musical por Resolución N° 2739 CGE, garantizando la formación profesional de repetidas generaciones hasta la actualidad. </w:t>
      </w:r>
    </w:p>
    <w:p w:rsidR="00561D07" w:rsidRPr="00561D07" w:rsidRDefault="00561D07" w:rsidP="00561D07">
      <w:pPr>
        <w:spacing w:line="360" w:lineRule="auto"/>
        <w:jc w:val="both"/>
        <w:rPr>
          <w:rFonts w:ascii="Arial" w:hAnsi="Arial" w:cs="Arial"/>
          <w:sz w:val="24"/>
          <w:szCs w:val="24"/>
        </w:rPr>
      </w:pPr>
      <w:r w:rsidRPr="00561D07">
        <w:rPr>
          <w:rFonts w:ascii="Arial" w:hAnsi="Arial" w:cs="Arial"/>
          <w:sz w:val="24"/>
          <w:szCs w:val="24"/>
        </w:rPr>
        <w:t xml:space="preserve">La férrea defensa de los derechos humanos, el respeto por la diversidad sin admitir discriminación de género ni de ningún otro tipo, el desarrollo de una conciencia ambiental crítica, han definido sus líneas de acción. Centrados en una visión histórico social que pretende el enriquecimiento cultural, se trabaja periódicamente en el mantenimiento del edificio conservando su fachada y características edilicias originales. </w:t>
      </w:r>
    </w:p>
    <w:p w:rsidR="00561D07" w:rsidRPr="00561D07" w:rsidRDefault="00561D07" w:rsidP="00561D07">
      <w:pPr>
        <w:spacing w:line="360" w:lineRule="auto"/>
        <w:jc w:val="both"/>
        <w:rPr>
          <w:rFonts w:ascii="Arial" w:hAnsi="Arial" w:cs="Arial"/>
          <w:sz w:val="24"/>
          <w:szCs w:val="24"/>
        </w:rPr>
      </w:pPr>
      <w:r w:rsidRPr="00561D07">
        <w:rPr>
          <w:rFonts w:ascii="Arial" w:hAnsi="Arial" w:cs="Arial"/>
          <w:sz w:val="24"/>
          <w:szCs w:val="24"/>
        </w:rPr>
        <w:t>A través de su extensa trayectoria se han priorizado experiencias institucionales propias y ajenas, favorables a la integración de las personas en y entre los distintos grupos etarios, el trabajo solidario y la construcción de oportunidades para los sectores de mayor vulnerabilidad, ampliando de este modo los vínculos con otras entidades y grupos sociales.</w:t>
      </w:r>
    </w:p>
    <w:p w:rsidR="00561D07" w:rsidRPr="00561D07" w:rsidRDefault="00561D07" w:rsidP="00561D07">
      <w:pPr>
        <w:spacing w:line="360" w:lineRule="auto"/>
        <w:jc w:val="both"/>
        <w:rPr>
          <w:rFonts w:ascii="Arial" w:hAnsi="Arial" w:cs="Arial"/>
          <w:sz w:val="24"/>
          <w:szCs w:val="24"/>
        </w:rPr>
      </w:pPr>
      <w:r>
        <w:rPr>
          <w:rFonts w:ascii="Arial" w:hAnsi="Arial" w:cs="Arial"/>
          <w:sz w:val="24"/>
          <w:szCs w:val="24"/>
        </w:rPr>
        <w:t>En ese sentido, Musicante</w:t>
      </w:r>
      <w:r w:rsidRPr="00561D07">
        <w:rPr>
          <w:rFonts w:ascii="Arial" w:hAnsi="Arial" w:cs="Arial"/>
          <w:sz w:val="24"/>
          <w:szCs w:val="24"/>
        </w:rPr>
        <w:t xml:space="preserve"> plantea en todo su recorrido </w:t>
      </w:r>
      <w:r>
        <w:rPr>
          <w:rFonts w:ascii="Arial" w:hAnsi="Arial" w:cs="Arial"/>
          <w:sz w:val="24"/>
          <w:szCs w:val="24"/>
        </w:rPr>
        <w:t>el</w:t>
      </w:r>
      <w:r w:rsidRPr="00561D07">
        <w:rPr>
          <w:rFonts w:ascii="Arial" w:hAnsi="Arial" w:cs="Arial"/>
          <w:sz w:val="24"/>
          <w:szCs w:val="24"/>
        </w:rPr>
        <w:t xml:space="preserve"> recupero genuino de nuestras raíces aportando tr</w:t>
      </w:r>
      <w:r>
        <w:rPr>
          <w:rFonts w:ascii="Arial" w:hAnsi="Arial" w:cs="Arial"/>
          <w:sz w:val="24"/>
          <w:szCs w:val="24"/>
        </w:rPr>
        <w:t xml:space="preserve">abajo investigativo al </w:t>
      </w:r>
      <w:r w:rsidR="00C33AB3">
        <w:rPr>
          <w:rFonts w:ascii="Arial" w:hAnsi="Arial" w:cs="Arial"/>
          <w:sz w:val="24"/>
          <w:szCs w:val="24"/>
        </w:rPr>
        <w:t>respecto,</w:t>
      </w:r>
      <w:r>
        <w:rPr>
          <w:rFonts w:ascii="Arial" w:hAnsi="Arial" w:cs="Arial"/>
          <w:sz w:val="24"/>
          <w:szCs w:val="24"/>
        </w:rPr>
        <w:t xml:space="preserve"> una</w:t>
      </w:r>
      <w:r w:rsidRPr="00561D07">
        <w:rPr>
          <w:rFonts w:ascii="Arial" w:hAnsi="Arial" w:cs="Arial"/>
          <w:sz w:val="24"/>
          <w:szCs w:val="24"/>
        </w:rPr>
        <w:t xml:space="preserve"> búsqueda responsable de fuentes </w:t>
      </w:r>
      <w:proofErr w:type="spellStart"/>
      <w:r w:rsidRPr="00561D07">
        <w:rPr>
          <w:rFonts w:ascii="Arial" w:hAnsi="Arial" w:cs="Arial"/>
          <w:sz w:val="24"/>
          <w:szCs w:val="24"/>
        </w:rPr>
        <w:t>identitarias</w:t>
      </w:r>
      <w:proofErr w:type="spellEnd"/>
      <w:r w:rsidRPr="00561D07">
        <w:rPr>
          <w:rFonts w:ascii="Arial" w:hAnsi="Arial" w:cs="Arial"/>
          <w:sz w:val="24"/>
          <w:szCs w:val="24"/>
        </w:rPr>
        <w:t xml:space="preserve"> y la transmisión popular de los datos recabados</w:t>
      </w:r>
      <w:r w:rsidR="00C33AB3">
        <w:rPr>
          <w:rFonts w:ascii="Arial" w:hAnsi="Arial" w:cs="Arial"/>
          <w:sz w:val="24"/>
          <w:szCs w:val="24"/>
        </w:rPr>
        <w:t>.</w:t>
      </w:r>
    </w:p>
    <w:p w:rsidR="00561D07" w:rsidRPr="00561D07" w:rsidRDefault="00561D07" w:rsidP="00561D07">
      <w:pPr>
        <w:spacing w:line="360" w:lineRule="auto"/>
        <w:jc w:val="both"/>
        <w:rPr>
          <w:rFonts w:ascii="Arial" w:hAnsi="Arial" w:cs="Arial"/>
          <w:sz w:val="24"/>
          <w:szCs w:val="24"/>
        </w:rPr>
      </w:pPr>
      <w:r w:rsidRPr="00561D07">
        <w:rPr>
          <w:rFonts w:ascii="Arial" w:hAnsi="Arial" w:cs="Arial"/>
          <w:sz w:val="24"/>
          <w:szCs w:val="24"/>
        </w:rPr>
        <w:t>A modo de síntesis</w:t>
      </w:r>
      <w:r w:rsidR="00C33AB3">
        <w:rPr>
          <w:rFonts w:ascii="Arial" w:hAnsi="Arial" w:cs="Arial"/>
          <w:sz w:val="24"/>
          <w:szCs w:val="24"/>
        </w:rPr>
        <w:t>,</w:t>
      </w:r>
      <w:r w:rsidRPr="00561D07">
        <w:rPr>
          <w:rFonts w:ascii="Arial" w:hAnsi="Arial" w:cs="Arial"/>
          <w:sz w:val="24"/>
          <w:szCs w:val="24"/>
        </w:rPr>
        <w:t xml:space="preserve"> se </w:t>
      </w:r>
      <w:r w:rsidR="00C33AB3">
        <w:rPr>
          <w:rFonts w:ascii="Arial" w:hAnsi="Arial" w:cs="Arial"/>
          <w:sz w:val="24"/>
          <w:szCs w:val="24"/>
        </w:rPr>
        <w:t>reseñan</w:t>
      </w:r>
      <w:r w:rsidRPr="00561D07">
        <w:rPr>
          <w:rFonts w:ascii="Arial" w:hAnsi="Arial" w:cs="Arial"/>
          <w:sz w:val="24"/>
          <w:szCs w:val="24"/>
        </w:rPr>
        <w:t xml:space="preserve"> algunas de las producciones artísticas más relevantes llevadas a escena por el grupo Musicante:</w:t>
      </w:r>
    </w:p>
    <w:p w:rsidR="00561D07" w:rsidRPr="00561D07" w:rsidRDefault="00561D07" w:rsidP="00561D07">
      <w:pPr>
        <w:spacing w:line="360" w:lineRule="auto"/>
        <w:jc w:val="both"/>
        <w:rPr>
          <w:rFonts w:ascii="Arial" w:hAnsi="Arial" w:cs="Arial"/>
          <w:sz w:val="24"/>
          <w:szCs w:val="24"/>
        </w:rPr>
      </w:pPr>
      <w:r w:rsidRPr="00561D07">
        <w:rPr>
          <w:rFonts w:ascii="Arial" w:hAnsi="Arial" w:cs="Arial"/>
          <w:sz w:val="24"/>
          <w:szCs w:val="24"/>
        </w:rPr>
        <w:t xml:space="preserve">    • “Como en un cuento”. Espectáculo músico teatral que plantea la realidad del hombre de nuestra tierra, sus mitos y leyendas. Sobre textos del poeta entrerriano Diego Angelino, música de Javier Villanueva y </w:t>
      </w:r>
      <w:r w:rsidR="00C33AB3">
        <w:rPr>
          <w:rFonts w:ascii="Arial" w:hAnsi="Arial" w:cs="Arial"/>
          <w:sz w:val="24"/>
          <w:szCs w:val="24"/>
        </w:rPr>
        <w:t xml:space="preserve">con la </w:t>
      </w:r>
      <w:r w:rsidRPr="00561D07">
        <w:rPr>
          <w:rFonts w:ascii="Arial" w:hAnsi="Arial" w:cs="Arial"/>
          <w:sz w:val="24"/>
          <w:szCs w:val="24"/>
        </w:rPr>
        <w:t xml:space="preserve">dirección de </w:t>
      </w:r>
      <w:r w:rsidR="007A5463" w:rsidRPr="007A5463">
        <w:rPr>
          <w:rFonts w:ascii="Arial" w:hAnsi="Arial" w:cs="Arial"/>
          <w:sz w:val="24"/>
          <w:szCs w:val="24"/>
        </w:rPr>
        <w:t>S</w:t>
      </w:r>
      <w:r w:rsidRPr="007A5463">
        <w:rPr>
          <w:rFonts w:ascii="Arial" w:hAnsi="Arial" w:cs="Arial"/>
          <w:sz w:val="24"/>
          <w:szCs w:val="24"/>
        </w:rPr>
        <w:t>ocorro Barcia</w:t>
      </w:r>
      <w:r w:rsidRPr="00561D07">
        <w:rPr>
          <w:rFonts w:ascii="Arial" w:hAnsi="Arial" w:cs="Arial"/>
          <w:sz w:val="24"/>
          <w:szCs w:val="24"/>
        </w:rPr>
        <w:t xml:space="preserve"> y Javier Villanueva</w:t>
      </w:r>
      <w:r>
        <w:rPr>
          <w:rFonts w:ascii="Arial" w:hAnsi="Arial" w:cs="Arial"/>
          <w:sz w:val="24"/>
          <w:szCs w:val="24"/>
        </w:rPr>
        <w:t>.</w:t>
      </w:r>
    </w:p>
    <w:p w:rsidR="00561D07" w:rsidRPr="00561D07" w:rsidRDefault="00561D07" w:rsidP="00561D07">
      <w:pPr>
        <w:spacing w:line="360" w:lineRule="auto"/>
        <w:jc w:val="both"/>
        <w:rPr>
          <w:rFonts w:ascii="Arial" w:hAnsi="Arial" w:cs="Arial"/>
          <w:sz w:val="24"/>
          <w:szCs w:val="24"/>
        </w:rPr>
      </w:pPr>
      <w:r w:rsidRPr="00561D07">
        <w:rPr>
          <w:rFonts w:ascii="Arial" w:hAnsi="Arial" w:cs="Arial"/>
          <w:sz w:val="24"/>
          <w:szCs w:val="24"/>
        </w:rPr>
        <w:t xml:space="preserve">    • “Esas melodías de caña y papel”. Este espectáculo dio origen a la lucha por el regreso de los corsos populares a Gualeguaychú, los cuales se habían dejado de realizar producto del surgimiento del nuevo carnaval. Recrea vivencias, costumbres y sentimientos del </w:t>
      </w:r>
      <w:r w:rsidRPr="00561D07">
        <w:rPr>
          <w:rFonts w:ascii="Arial" w:hAnsi="Arial" w:cs="Arial"/>
          <w:sz w:val="24"/>
          <w:szCs w:val="24"/>
        </w:rPr>
        <w:lastRenderedPageBreak/>
        <w:t xml:space="preserve">carnaval popular intentando rescatar toda su participación, espontaneidad y frescura. Dicha obra está basada en textos de Abelardo Otero Wilson, guion y musicalización </w:t>
      </w:r>
      <w:r>
        <w:rPr>
          <w:rFonts w:ascii="Arial" w:hAnsi="Arial" w:cs="Arial"/>
          <w:sz w:val="24"/>
          <w:szCs w:val="24"/>
        </w:rPr>
        <w:t xml:space="preserve">de </w:t>
      </w:r>
      <w:r w:rsidRPr="00561D07">
        <w:rPr>
          <w:rFonts w:ascii="Arial" w:hAnsi="Arial" w:cs="Arial"/>
          <w:sz w:val="24"/>
          <w:szCs w:val="24"/>
        </w:rPr>
        <w:t>Javier Villanueva, puesta en escena de Javier Villanueva y Grupo Musicante.</w:t>
      </w:r>
    </w:p>
    <w:p w:rsidR="00561D07" w:rsidRPr="00561D07" w:rsidRDefault="00561D07" w:rsidP="00561D07">
      <w:pPr>
        <w:spacing w:line="360" w:lineRule="auto"/>
        <w:jc w:val="both"/>
        <w:rPr>
          <w:rFonts w:ascii="Arial" w:hAnsi="Arial" w:cs="Arial"/>
          <w:sz w:val="24"/>
          <w:szCs w:val="24"/>
        </w:rPr>
      </w:pPr>
      <w:r w:rsidRPr="00561D07">
        <w:rPr>
          <w:rFonts w:ascii="Arial" w:hAnsi="Arial" w:cs="Arial"/>
          <w:sz w:val="24"/>
          <w:szCs w:val="24"/>
        </w:rPr>
        <w:t xml:space="preserve">    • “</w:t>
      </w:r>
      <w:proofErr w:type="spellStart"/>
      <w:r w:rsidRPr="00561D07">
        <w:rPr>
          <w:rFonts w:ascii="Arial" w:hAnsi="Arial" w:cs="Arial"/>
          <w:sz w:val="24"/>
          <w:szCs w:val="24"/>
        </w:rPr>
        <w:t>Blangrundia</w:t>
      </w:r>
      <w:proofErr w:type="spellEnd"/>
      <w:r w:rsidRPr="00561D07">
        <w:rPr>
          <w:rFonts w:ascii="Arial" w:hAnsi="Arial" w:cs="Arial"/>
          <w:sz w:val="24"/>
          <w:szCs w:val="24"/>
        </w:rPr>
        <w:t xml:space="preserve">, la Gran Nación”. Se trata de una obra de títeres, teatro y música donde el amor, la amistad y la alegría triunfan sobre el odio, la violencia y la discriminación. Incluye versión libre de Mambrú y </w:t>
      </w:r>
      <w:r w:rsidRPr="007A5463">
        <w:rPr>
          <w:rFonts w:ascii="Arial" w:hAnsi="Arial" w:cs="Arial"/>
          <w:sz w:val="24"/>
          <w:szCs w:val="24"/>
        </w:rPr>
        <w:t>Gaspar De Carlos Gorostiza.</w:t>
      </w:r>
    </w:p>
    <w:p w:rsidR="00561D07" w:rsidRPr="00561D07" w:rsidRDefault="00561D07" w:rsidP="00561D07">
      <w:pPr>
        <w:spacing w:line="360" w:lineRule="auto"/>
        <w:jc w:val="both"/>
        <w:rPr>
          <w:rFonts w:ascii="Arial" w:hAnsi="Arial" w:cs="Arial"/>
          <w:sz w:val="24"/>
          <w:szCs w:val="24"/>
        </w:rPr>
      </w:pPr>
      <w:r w:rsidRPr="00561D07">
        <w:rPr>
          <w:rFonts w:ascii="Arial" w:hAnsi="Arial" w:cs="Arial"/>
          <w:sz w:val="24"/>
          <w:szCs w:val="24"/>
        </w:rPr>
        <w:t xml:space="preserve">    • “Portadores de sueños”. Espectáculo de poesía y música latinoamericana en un ensamble sonoro genuino. Puesta en valor de la poesía que libera y transforma la historia, a través de los versos de Hamlet Lima Quintana, Mario B</w:t>
      </w:r>
      <w:r>
        <w:rPr>
          <w:rFonts w:ascii="Arial" w:hAnsi="Arial" w:cs="Arial"/>
          <w:sz w:val="24"/>
          <w:szCs w:val="24"/>
        </w:rPr>
        <w:t xml:space="preserve">enedetti, Alberto Tejada Gómez y </w:t>
      </w:r>
      <w:r w:rsidRPr="00561D07">
        <w:rPr>
          <w:rFonts w:ascii="Arial" w:hAnsi="Arial" w:cs="Arial"/>
          <w:sz w:val="24"/>
          <w:szCs w:val="24"/>
        </w:rPr>
        <w:t xml:space="preserve">Pablo Neruda. </w:t>
      </w:r>
    </w:p>
    <w:p w:rsidR="00561D07" w:rsidRPr="00561D07" w:rsidRDefault="00561D07" w:rsidP="00561D07">
      <w:pPr>
        <w:spacing w:line="360" w:lineRule="auto"/>
        <w:jc w:val="both"/>
        <w:rPr>
          <w:rFonts w:ascii="Arial" w:hAnsi="Arial" w:cs="Arial"/>
          <w:sz w:val="24"/>
          <w:szCs w:val="24"/>
        </w:rPr>
      </w:pPr>
      <w:r w:rsidRPr="00561D07">
        <w:rPr>
          <w:rFonts w:ascii="Arial" w:hAnsi="Arial" w:cs="Arial"/>
          <w:sz w:val="24"/>
          <w:szCs w:val="24"/>
        </w:rPr>
        <w:t xml:space="preserve">    • “Cada </w:t>
      </w:r>
      <w:r>
        <w:rPr>
          <w:rFonts w:ascii="Arial" w:hAnsi="Arial" w:cs="Arial"/>
          <w:sz w:val="24"/>
          <w:szCs w:val="24"/>
        </w:rPr>
        <w:t>c</w:t>
      </w:r>
      <w:r w:rsidRPr="00561D07">
        <w:rPr>
          <w:rFonts w:ascii="Arial" w:hAnsi="Arial" w:cs="Arial"/>
          <w:sz w:val="24"/>
          <w:szCs w:val="24"/>
        </w:rPr>
        <w:t xml:space="preserve">ual atiende su juego”. Recital lúdico didáctico que recupera el folklore tradicional infantil e invita a revivir nanas, rondas, retahílas y canciones entre generaciones. Un espacio en el que las infancias pueden mirar y redescubrir a sus adultos mayores a través de la música y el juego. </w:t>
      </w:r>
    </w:p>
    <w:p w:rsidR="00561D07" w:rsidRPr="00561D07" w:rsidRDefault="00561D07" w:rsidP="00561D07">
      <w:pPr>
        <w:spacing w:line="360" w:lineRule="auto"/>
        <w:jc w:val="both"/>
        <w:rPr>
          <w:rFonts w:ascii="Arial" w:hAnsi="Arial" w:cs="Arial"/>
          <w:sz w:val="24"/>
          <w:szCs w:val="24"/>
        </w:rPr>
      </w:pPr>
      <w:r w:rsidRPr="00561D07">
        <w:rPr>
          <w:rFonts w:ascii="Arial" w:hAnsi="Arial" w:cs="Arial"/>
          <w:sz w:val="24"/>
          <w:szCs w:val="24"/>
        </w:rPr>
        <w:t xml:space="preserve">    • “</w:t>
      </w:r>
      <w:r w:rsidRPr="007A5463">
        <w:rPr>
          <w:rFonts w:ascii="Arial" w:hAnsi="Arial" w:cs="Arial"/>
          <w:sz w:val="24"/>
          <w:szCs w:val="24"/>
        </w:rPr>
        <w:t>El San José almacén y bar”.</w:t>
      </w:r>
      <w:r w:rsidRPr="00561D07">
        <w:rPr>
          <w:rFonts w:ascii="Arial" w:hAnsi="Arial" w:cs="Arial"/>
          <w:sz w:val="24"/>
          <w:szCs w:val="24"/>
        </w:rPr>
        <w:t xml:space="preserve"> Espectáculo músico teatral que recupera las vivencias y experiencias del barrio en las décadas del 50’ y 60’. En una estampa colorida de su gente, el San José sale al rescate de valores y vínculos quizás olvidados, la solidaridad, la lucha conjunta, los proyectos compartidos.</w:t>
      </w:r>
    </w:p>
    <w:p w:rsidR="00561D07" w:rsidRPr="00561D07" w:rsidRDefault="00561D07" w:rsidP="00561D07">
      <w:pPr>
        <w:spacing w:line="360" w:lineRule="auto"/>
        <w:jc w:val="both"/>
        <w:rPr>
          <w:rFonts w:ascii="Arial" w:hAnsi="Arial" w:cs="Arial"/>
          <w:sz w:val="24"/>
          <w:szCs w:val="24"/>
        </w:rPr>
      </w:pPr>
      <w:r w:rsidRPr="00561D07">
        <w:rPr>
          <w:rFonts w:ascii="Arial" w:hAnsi="Arial" w:cs="Arial"/>
          <w:sz w:val="24"/>
          <w:szCs w:val="24"/>
        </w:rPr>
        <w:t xml:space="preserve">    • “Mulatos – Ensamble </w:t>
      </w:r>
      <w:proofErr w:type="spellStart"/>
      <w:r w:rsidRPr="00561D07">
        <w:rPr>
          <w:rFonts w:ascii="Arial" w:hAnsi="Arial" w:cs="Arial"/>
          <w:sz w:val="24"/>
          <w:szCs w:val="24"/>
        </w:rPr>
        <w:t>Murguero</w:t>
      </w:r>
      <w:proofErr w:type="spellEnd"/>
      <w:r w:rsidRPr="00561D07">
        <w:rPr>
          <w:rFonts w:ascii="Arial" w:hAnsi="Arial" w:cs="Arial"/>
          <w:sz w:val="24"/>
          <w:szCs w:val="24"/>
        </w:rPr>
        <w:t xml:space="preserve">”. Espectáculo musical resultante de un trabajo de investigación sobre la profunda influencia de las comunidades africanas arribadas al continente desde el siglo XVI, a través de su música en las culturas latinoamericanas.  </w:t>
      </w:r>
    </w:p>
    <w:p w:rsidR="00561D07" w:rsidRPr="00561D07" w:rsidRDefault="00561D07" w:rsidP="00561D07">
      <w:pPr>
        <w:spacing w:line="360" w:lineRule="auto"/>
        <w:jc w:val="both"/>
        <w:rPr>
          <w:rFonts w:ascii="Arial" w:hAnsi="Arial" w:cs="Arial"/>
          <w:b/>
          <w:sz w:val="24"/>
          <w:szCs w:val="24"/>
        </w:rPr>
      </w:pPr>
    </w:p>
    <w:p w:rsidR="00CB26B9" w:rsidRPr="00561D07" w:rsidRDefault="00561D07" w:rsidP="00561D07">
      <w:pPr>
        <w:spacing w:line="360" w:lineRule="auto"/>
        <w:jc w:val="both"/>
        <w:rPr>
          <w:rFonts w:ascii="Arial" w:hAnsi="Arial" w:cs="Arial"/>
          <w:sz w:val="24"/>
          <w:szCs w:val="24"/>
        </w:rPr>
      </w:pPr>
      <w:r w:rsidRPr="00561D07">
        <w:rPr>
          <w:rFonts w:ascii="Arial" w:hAnsi="Arial" w:cs="Arial"/>
          <w:sz w:val="24"/>
          <w:szCs w:val="24"/>
        </w:rPr>
        <w:t>Por todo ello, y entendiendo que debemos fomentar</w:t>
      </w:r>
      <w:r w:rsidRPr="00561D07">
        <w:t xml:space="preserve"> </w:t>
      </w:r>
      <w:r w:rsidRPr="00561D07">
        <w:rPr>
          <w:rFonts w:ascii="Arial" w:hAnsi="Arial" w:cs="Arial"/>
          <w:sz w:val="24"/>
          <w:szCs w:val="24"/>
        </w:rPr>
        <w:t xml:space="preserve">y alentar </w:t>
      </w:r>
      <w:r>
        <w:rPr>
          <w:rFonts w:ascii="Arial" w:hAnsi="Arial" w:cs="Arial"/>
          <w:sz w:val="24"/>
          <w:szCs w:val="24"/>
        </w:rPr>
        <w:t>el</w:t>
      </w:r>
      <w:r w:rsidRPr="00561D07">
        <w:rPr>
          <w:rFonts w:ascii="Arial" w:hAnsi="Arial" w:cs="Arial"/>
          <w:sz w:val="24"/>
          <w:szCs w:val="24"/>
        </w:rPr>
        <w:t xml:space="preserve"> desarrollo de este tipo de instituciones </w:t>
      </w:r>
      <w:r w:rsidR="007A5463">
        <w:rPr>
          <w:rFonts w:ascii="Arial" w:hAnsi="Arial" w:cs="Arial"/>
          <w:sz w:val="24"/>
          <w:szCs w:val="24"/>
        </w:rPr>
        <w:t>cuyos</w:t>
      </w:r>
      <w:r w:rsidRPr="00561D07">
        <w:rPr>
          <w:rFonts w:ascii="Arial" w:hAnsi="Arial" w:cs="Arial"/>
          <w:sz w:val="24"/>
          <w:szCs w:val="24"/>
        </w:rPr>
        <w:t xml:space="preserve"> idearios de justicia e igualdad</w:t>
      </w:r>
      <w:r w:rsidR="00C33AB3">
        <w:rPr>
          <w:rFonts w:ascii="Arial" w:hAnsi="Arial" w:cs="Arial"/>
          <w:sz w:val="24"/>
          <w:szCs w:val="24"/>
        </w:rPr>
        <w:t xml:space="preserve"> </w:t>
      </w:r>
      <w:r w:rsidRPr="00561D07">
        <w:rPr>
          <w:rFonts w:ascii="Arial" w:hAnsi="Arial" w:cs="Arial"/>
          <w:sz w:val="24"/>
          <w:szCs w:val="24"/>
        </w:rPr>
        <w:t>se traducen en propuestas culturales tutoras del bien común, es que solicito que me acompañen en la presente declaración de interés.</w:t>
      </w:r>
    </w:p>
    <w:p w:rsidR="00C33AB3" w:rsidRDefault="00C33AB3">
      <w:pPr>
        <w:widowControl/>
        <w:suppressAutoHyphens w:val="0"/>
        <w:rPr>
          <w:rFonts w:ascii="Arial" w:hAnsi="Arial" w:cs="Arial"/>
          <w:b/>
          <w:sz w:val="24"/>
          <w:szCs w:val="24"/>
        </w:rPr>
      </w:pPr>
      <w:r>
        <w:rPr>
          <w:rFonts w:ascii="Arial" w:hAnsi="Arial" w:cs="Arial"/>
          <w:b/>
          <w:sz w:val="24"/>
          <w:szCs w:val="24"/>
        </w:rPr>
        <w:br w:type="page"/>
      </w:r>
    </w:p>
    <w:p w:rsidR="00DF1ABF" w:rsidRDefault="00DF1ABF" w:rsidP="008D741C">
      <w:pPr>
        <w:spacing w:line="360" w:lineRule="auto"/>
        <w:jc w:val="center"/>
        <w:rPr>
          <w:rFonts w:ascii="Arial" w:hAnsi="Arial" w:cs="Arial"/>
          <w:b/>
          <w:sz w:val="24"/>
          <w:szCs w:val="24"/>
        </w:rPr>
      </w:pPr>
    </w:p>
    <w:p w:rsidR="00D43AF1" w:rsidRDefault="00D43AF1" w:rsidP="008D741C">
      <w:pPr>
        <w:spacing w:line="360" w:lineRule="auto"/>
        <w:jc w:val="center"/>
        <w:rPr>
          <w:rFonts w:ascii="Arial" w:hAnsi="Arial" w:cs="Arial"/>
          <w:b/>
          <w:sz w:val="24"/>
          <w:szCs w:val="24"/>
        </w:rPr>
      </w:pPr>
    </w:p>
    <w:p w:rsidR="00665931" w:rsidRPr="00A0264E" w:rsidRDefault="00665931" w:rsidP="008D741C">
      <w:pPr>
        <w:spacing w:line="360" w:lineRule="auto"/>
        <w:jc w:val="center"/>
        <w:rPr>
          <w:rFonts w:ascii="Arial" w:hAnsi="Arial" w:cs="Arial"/>
          <w:b/>
          <w:sz w:val="24"/>
          <w:szCs w:val="24"/>
        </w:rPr>
      </w:pPr>
      <w:r w:rsidRPr="00A0264E">
        <w:rPr>
          <w:rFonts w:ascii="Arial" w:hAnsi="Arial" w:cs="Arial"/>
          <w:b/>
          <w:sz w:val="24"/>
          <w:szCs w:val="24"/>
        </w:rPr>
        <w:t>LA HONORABLE CÁMARA DE SENADORES</w:t>
      </w:r>
    </w:p>
    <w:p w:rsidR="00665931" w:rsidRPr="00A0264E" w:rsidRDefault="00665931" w:rsidP="008D741C">
      <w:pPr>
        <w:spacing w:line="360" w:lineRule="auto"/>
        <w:jc w:val="center"/>
        <w:rPr>
          <w:rFonts w:ascii="Arial" w:hAnsi="Arial" w:cs="Arial"/>
          <w:b/>
          <w:sz w:val="24"/>
          <w:szCs w:val="24"/>
        </w:rPr>
      </w:pPr>
      <w:r w:rsidRPr="00A0264E">
        <w:rPr>
          <w:rFonts w:ascii="Arial" w:hAnsi="Arial" w:cs="Arial"/>
          <w:b/>
          <w:sz w:val="24"/>
          <w:szCs w:val="24"/>
        </w:rPr>
        <w:t>DE LA PROVINCIA DE ENTRE RÍOS</w:t>
      </w:r>
    </w:p>
    <w:p w:rsidR="006477F6" w:rsidRPr="00A0264E" w:rsidRDefault="00665931" w:rsidP="008D741C">
      <w:pPr>
        <w:spacing w:line="360" w:lineRule="auto"/>
        <w:jc w:val="center"/>
        <w:rPr>
          <w:rFonts w:ascii="Arial" w:hAnsi="Arial" w:cs="Arial"/>
          <w:b/>
          <w:sz w:val="24"/>
          <w:szCs w:val="24"/>
        </w:rPr>
      </w:pPr>
      <w:r w:rsidRPr="00A0264E">
        <w:rPr>
          <w:rFonts w:ascii="Arial" w:hAnsi="Arial" w:cs="Arial"/>
          <w:b/>
          <w:sz w:val="24"/>
          <w:szCs w:val="24"/>
        </w:rPr>
        <w:t>DECLARA:</w:t>
      </w:r>
    </w:p>
    <w:p w:rsidR="00665931" w:rsidRPr="00A0264E" w:rsidRDefault="00665931" w:rsidP="00B07B03">
      <w:pPr>
        <w:spacing w:line="360" w:lineRule="auto"/>
        <w:jc w:val="both"/>
        <w:rPr>
          <w:rFonts w:ascii="Arial" w:hAnsi="Arial" w:cs="Arial"/>
          <w:sz w:val="24"/>
          <w:szCs w:val="24"/>
        </w:rPr>
      </w:pPr>
    </w:p>
    <w:p w:rsidR="008D741C" w:rsidRDefault="00665931" w:rsidP="00B07B03">
      <w:pPr>
        <w:spacing w:line="360" w:lineRule="auto"/>
        <w:jc w:val="both"/>
        <w:rPr>
          <w:rFonts w:ascii="Arial" w:hAnsi="Arial" w:cs="Arial"/>
          <w:sz w:val="24"/>
          <w:szCs w:val="24"/>
        </w:rPr>
      </w:pPr>
      <w:r w:rsidRPr="00A0264E">
        <w:rPr>
          <w:rFonts w:ascii="Arial" w:hAnsi="Arial" w:cs="Arial"/>
          <w:b/>
          <w:sz w:val="24"/>
          <w:szCs w:val="24"/>
        </w:rPr>
        <w:t>PRIMERO</w:t>
      </w:r>
      <w:r w:rsidRPr="00A0264E">
        <w:rPr>
          <w:rFonts w:ascii="Arial" w:hAnsi="Arial" w:cs="Arial"/>
          <w:sz w:val="24"/>
          <w:szCs w:val="24"/>
        </w:rPr>
        <w:t xml:space="preserve">. De interés </w:t>
      </w:r>
      <w:r w:rsidR="00C33AB3">
        <w:rPr>
          <w:rFonts w:ascii="Arial" w:hAnsi="Arial" w:cs="Arial"/>
          <w:sz w:val="24"/>
          <w:szCs w:val="24"/>
        </w:rPr>
        <w:t xml:space="preserve">el 40° aniversario del </w:t>
      </w:r>
      <w:r w:rsidR="00AD6412">
        <w:rPr>
          <w:rFonts w:ascii="Arial" w:hAnsi="Arial" w:cs="Arial"/>
          <w:sz w:val="24"/>
          <w:szCs w:val="24"/>
        </w:rPr>
        <w:t xml:space="preserve">Centro Cultural </w:t>
      </w:r>
      <w:r w:rsidR="00C33AB3">
        <w:rPr>
          <w:rFonts w:ascii="Arial" w:hAnsi="Arial" w:cs="Arial"/>
          <w:sz w:val="24"/>
          <w:szCs w:val="24"/>
        </w:rPr>
        <w:t>“Musicante” de la ciudad de Gualeguaychú.</w:t>
      </w:r>
    </w:p>
    <w:p w:rsidR="00DE2C80" w:rsidRDefault="00DE2C80" w:rsidP="00B07B03">
      <w:pPr>
        <w:spacing w:line="360" w:lineRule="auto"/>
        <w:jc w:val="both"/>
        <w:rPr>
          <w:rFonts w:ascii="Arial" w:hAnsi="Arial" w:cs="Arial"/>
          <w:sz w:val="24"/>
          <w:szCs w:val="24"/>
        </w:rPr>
      </w:pPr>
    </w:p>
    <w:p w:rsidR="00EF55C3" w:rsidRPr="00665931" w:rsidRDefault="00665931" w:rsidP="00B07B03">
      <w:pPr>
        <w:spacing w:line="360" w:lineRule="auto"/>
        <w:jc w:val="both"/>
      </w:pPr>
      <w:r w:rsidRPr="00A0264E">
        <w:rPr>
          <w:rFonts w:ascii="Arial" w:hAnsi="Arial" w:cs="Arial"/>
          <w:b/>
          <w:sz w:val="24"/>
          <w:szCs w:val="24"/>
        </w:rPr>
        <w:t>SEGUNDO</w:t>
      </w:r>
      <w:r w:rsidRPr="00A0264E">
        <w:rPr>
          <w:rFonts w:ascii="Arial" w:hAnsi="Arial" w:cs="Arial"/>
          <w:sz w:val="24"/>
          <w:szCs w:val="24"/>
        </w:rPr>
        <w:t>. Comuníquese a</w:t>
      </w:r>
      <w:r w:rsidR="003B55C3">
        <w:rPr>
          <w:rFonts w:ascii="Arial" w:hAnsi="Arial" w:cs="Arial"/>
          <w:sz w:val="24"/>
          <w:szCs w:val="24"/>
        </w:rPr>
        <w:t xml:space="preserve"> </w:t>
      </w:r>
      <w:r w:rsidR="00AD6412">
        <w:rPr>
          <w:rFonts w:ascii="Arial" w:hAnsi="Arial" w:cs="Arial"/>
          <w:sz w:val="24"/>
          <w:szCs w:val="24"/>
        </w:rPr>
        <w:t xml:space="preserve">Anahí Villanueva </w:t>
      </w:r>
      <w:proofErr w:type="spellStart"/>
      <w:r w:rsidR="00AD6412">
        <w:rPr>
          <w:rFonts w:ascii="Arial" w:hAnsi="Arial" w:cs="Arial"/>
          <w:sz w:val="24"/>
          <w:szCs w:val="24"/>
        </w:rPr>
        <w:t>Hermann</w:t>
      </w:r>
      <w:proofErr w:type="spellEnd"/>
      <w:r w:rsidR="00AD6412">
        <w:rPr>
          <w:rFonts w:ascii="Arial" w:hAnsi="Arial" w:cs="Arial"/>
          <w:sz w:val="24"/>
          <w:szCs w:val="24"/>
        </w:rPr>
        <w:t>, d</w:t>
      </w:r>
      <w:r w:rsidR="003B55C3" w:rsidRPr="003B55C3">
        <w:rPr>
          <w:rFonts w:ascii="Arial" w:hAnsi="Arial" w:cs="Arial"/>
          <w:sz w:val="24"/>
          <w:szCs w:val="24"/>
        </w:rPr>
        <w:t xml:space="preserve">irectora </w:t>
      </w:r>
      <w:r w:rsidR="00AD6412">
        <w:rPr>
          <w:rFonts w:ascii="Arial" w:hAnsi="Arial" w:cs="Arial"/>
          <w:sz w:val="24"/>
          <w:szCs w:val="24"/>
        </w:rPr>
        <w:t>del Centro Cultural “Musicante”.</w:t>
      </w:r>
    </w:p>
    <w:sectPr w:rsidR="00EF55C3" w:rsidRPr="00665931">
      <w:headerReference w:type="default" r:id="rId9"/>
      <w:footerReference w:type="default" r:id="rId10"/>
      <w:headerReference w:type="first" r:id="rId11"/>
      <w:footerReference w:type="first" r:id="rId12"/>
      <w:pgSz w:w="11906" w:h="16838"/>
      <w:pgMar w:top="680" w:right="460" w:bottom="1320" w:left="1600" w:header="0" w:footer="1135" w:gutter="0"/>
      <w:cols w:space="72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C23" w:rsidRDefault="003F4C23">
      <w:r>
        <w:separator/>
      </w:r>
    </w:p>
  </w:endnote>
  <w:endnote w:type="continuationSeparator" w:id="0">
    <w:p w:rsidR="003F4C23" w:rsidRDefault="003F4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X Gyre Bonum">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rlito">
    <w:altName w:val="Calibri"/>
    <w:panose1 w:val="020F0502020204030204"/>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CAF" w:rsidRDefault="00503055">
    <w:pPr>
      <w:pStyle w:val="Piedepgina"/>
      <w:pBdr>
        <w:top w:val="thinThickSmallGap" w:sz="24" w:space="1" w:color="622423"/>
        <w:left w:val="none" w:sz="0" w:space="0" w:color="000000"/>
        <w:bottom w:val="none" w:sz="0" w:space="0" w:color="000000"/>
        <w:right w:val="none" w:sz="0" w:space="0" w:color="000000"/>
      </w:pBdr>
    </w:pPr>
    <w:proofErr w:type="spellStart"/>
    <w:r>
      <w:rPr>
        <w:rFonts w:ascii="Carlito" w:hAnsi="Carlito"/>
        <w:b/>
        <w:sz w:val="16"/>
      </w:rPr>
      <w:t>Nogoyá</w:t>
    </w:r>
    <w:proofErr w:type="spellEnd"/>
    <w:r>
      <w:rPr>
        <w:rFonts w:ascii="Carlito" w:hAnsi="Carlito"/>
        <w:b/>
        <w:sz w:val="16"/>
      </w:rPr>
      <w:t xml:space="preserve"> 50, 7° B | Paraná, Entre Ríos </w:t>
    </w:r>
    <w:r>
      <w:rPr>
        <w:rFonts w:ascii="Carlito" w:hAnsi="Carlito"/>
        <w:b/>
        <w:sz w:val="16"/>
      </w:rPr>
      <w:br/>
      <w:t xml:space="preserve">Tel.: (0343) 4208123 | 4208120 </w:t>
    </w:r>
    <w:hyperlink r:id="rId1" w:history="1">
      <w:r>
        <w:rPr>
          <w:rFonts w:ascii="Carlito" w:hAnsi="Carlito"/>
          <w:b/>
          <w:sz w:val="16"/>
        </w:rPr>
        <w:t>maradey@mailsenadoer.gob.ar</w:t>
      </w:r>
    </w:hyperlink>
    <w:r>
      <w:rPr>
        <w:rFonts w:ascii="Carlito" w:hAnsi="Carlito"/>
        <w:b/>
        <w:sz w:val="16"/>
      </w:rPr>
      <w:t xml:space="preserve"> </w:t>
    </w:r>
  </w:p>
  <w:p w:rsidR="00A54CAF" w:rsidRDefault="00A54CAF">
    <w:pPr>
      <w:pStyle w:val="Textoindependiente"/>
      <w:spacing w:line="12" w:lineRule="auto"/>
      <w:ind w:left="0" w:firstLine="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CAF" w:rsidRDefault="00A54C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C23" w:rsidRDefault="003F4C23">
      <w:r>
        <w:separator/>
      </w:r>
    </w:p>
  </w:footnote>
  <w:footnote w:type="continuationSeparator" w:id="0">
    <w:p w:rsidR="003F4C23" w:rsidRDefault="003F4C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CAF" w:rsidRDefault="00A54CAF">
    <w:pPr>
      <w:pStyle w:val="Encabezado"/>
      <w:rPr>
        <w:rFonts w:ascii="Times New Roman" w:hAnsi="Times New Roman"/>
        <w:sz w:val="20"/>
        <w:lang w:val="es-AR" w:eastAsia="es-AR"/>
      </w:rPr>
    </w:pPr>
  </w:p>
  <w:p w:rsidR="00A54CAF" w:rsidRDefault="00A54CAF">
    <w:pPr>
      <w:pStyle w:val="Encabezado"/>
      <w:rPr>
        <w:rFonts w:ascii="Times New Roman" w:hAnsi="Times New Roman"/>
        <w:sz w:val="20"/>
        <w:lang w:val="es-AR" w:eastAsia="es-AR"/>
      </w:rPr>
    </w:pPr>
  </w:p>
  <w:p w:rsidR="00A54CAF" w:rsidRDefault="00A54CAF">
    <w:pPr>
      <w:pStyle w:val="Encabezado"/>
      <w:rPr>
        <w:rFonts w:ascii="Times New Roman" w:hAnsi="Times New Roman"/>
        <w:sz w:val="20"/>
        <w:lang w:val="es-AR" w:eastAsia="es-AR"/>
      </w:rPr>
    </w:pPr>
  </w:p>
  <w:p w:rsidR="00A54CAF" w:rsidRDefault="00503055">
    <w:pPr>
      <w:pStyle w:val="Encabezado"/>
      <w:jc w:val="right"/>
      <w:rPr>
        <w:rFonts w:ascii="Times New Roman" w:hAnsi="Times New Roman"/>
        <w:sz w:val="20"/>
        <w:lang w:val="es-AR" w:eastAsia="es-AR"/>
      </w:rPr>
    </w:pPr>
    <w:r>
      <w:rPr>
        <w:rFonts w:ascii="Times New Roman" w:hAnsi="Times New Roman"/>
        <w:position w:val="1"/>
        <w:sz w:val="20"/>
        <w:lang w:val="es-AR" w:eastAsia="es-AR"/>
      </w:rPr>
      <w:t xml:space="preserve">  </w:t>
    </w:r>
    <w:r>
      <w:rPr>
        <w:noProof/>
        <w:lang w:val="es-AR" w:eastAsia="es-AR"/>
      </w:rPr>
      <w:drawing>
        <wp:inline distT="0" distB="0" distL="0" distR="0">
          <wp:extent cx="1961515" cy="641985"/>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1515" cy="641985"/>
                  </a:xfrm>
                  <a:prstGeom prst="rect">
                    <a:avLst/>
                  </a:prstGeom>
                  <a:solidFill>
                    <a:srgbClr val="FFFFFF">
                      <a:alpha val="0"/>
                    </a:srgbClr>
                  </a:solidFill>
                  <a:ln>
                    <a:noFill/>
                  </a:ln>
                </pic:spPr>
              </pic:pic>
            </a:graphicData>
          </a:graphic>
        </wp:inline>
      </w:drawing>
    </w:r>
    <w:r>
      <w:rPr>
        <w:rFonts w:ascii="Times New Roman" w:hAnsi="Times New Roman"/>
        <w:position w:val="1"/>
        <w:sz w:val="20"/>
        <w:lang w:val="es-AR" w:eastAsia="es-AR"/>
      </w:rPr>
      <w:t xml:space="preserve">     </w:t>
    </w:r>
    <w:r>
      <w:rPr>
        <w:noProof/>
        <w:lang w:val="es-AR" w:eastAsia="es-AR"/>
      </w:rPr>
      <w:drawing>
        <wp:inline distT="0" distB="0" distL="0" distR="0">
          <wp:extent cx="683895" cy="679450"/>
          <wp:effectExtent l="0" t="0" r="0"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3895" cy="679450"/>
                  </a:xfrm>
                  <a:prstGeom prst="rect">
                    <a:avLst/>
                  </a:prstGeom>
                  <a:solidFill>
                    <a:srgbClr val="FFFFFF">
                      <a:alpha val="0"/>
                    </a:srgbClr>
                  </a:solidFill>
                  <a:ln>
                    <a:noFill/>
                  </a:ln>
                </pic:spPr>
              </pic:pic>
            </a:graphicData>
          </a:graphic>
        </wp:inline>
      </w:drawing>
    </w:r>
  </w:p>
  <w:p w:rsidR="00A54CAF" w:rsidRDefault="00A54CAF">
    <w:pPr>
      <w:pStyle w:val="Encabezado"/>
      <w:jc w:val="right"/>
      <w:rPr>
        <w:rFonts w:ascii="Times New Roman" w:hAnsi="Times New Roman"/>
        <w:sz w:val="20"/>
        <w:lang w:val="es-AR" w:eastAsia="es-AR"/>
      </w:rPr>
    </w:pPr>
  </w:p>
  <w:p w:rsidR="00A54CAF" w:rsidRDefault="00A54CAF">
    <w:pPr>
      <w:pStyle w:val="Encabezad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CAF" w:rsidRDefault="00A54C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E50FA"/>
    <w:multiLevelType w:val="hybridMultilevel"/>
    <w:tmpl w:val="A202900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30E5703B"/>
    <w:multiLevelType w:val="hybridMultilevel"/>
    <w:tmpl w:val="BB146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BA3465"/>
    <w:multiLevelType w:val="hybridMultilevel"/>
    <w:tmpl w:val="6C765FB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055"/>
    <w:rsid w:val="00002E0D"/>
    <w:rsid w:val="00050A21"/>
    <w:rsid w:val="00076D6E"/>
    <w:rsid w:val="00077FAA"/>
    <w:rsid w:val="000A536D"/>
    <w:rsid w:val="000D7584"/>
    <w:rsid w:val="00115662"/>
    <w:rsid w:val="00142BF9"/>
    <w:rsid w:val="00157DE8"/>
    <w:rsid w:val="00170902"/>
    <w:rsid w:val="00171613"/>
    <w:rsid w:val="0017234A"/>
    <w:rsid w:val="001728A6"/>
    <w:rsid w:val="0019001E"/>
    <w:rsid w:val="00204FB6"/>
    <w:rsid w:val="002155B8"/>
    <w:rsid w:val="00241FC5"/>
    <w:rsid w:val="002676A7"/>
    <w:rsid w:val="002837B3"/>
    <w:rsid w:val="002A5C81"/>
    <w:rsid w:val="002D7B41"/>
    <w:rsid w:val="002F0A93"/>
    <w:rsid w:val="002F3878"/>
    <w:rsid w:val="003238F7"/>
    <w:rsid w:val="00342B70"/>
    <w:rsid w:val="00360101"/>
    <w:rsid w:val="003777FC"/>
    <w:rsid w:val="003B55C3"/>
    <w:rsid w:val="003F4C23"/>
    <w:rsid w:val="00403BE2"/>
    <w:rsid w:val="004055E2"/>
    <w:rsid w:val="00417E42"/>
    <w:rsid w:val="0044417F"/>
    <w:rsid w:val="00454EF7"/>
    <w:rsid w:val="004873F1"/>
    <w:rsid w:val="004E1B2B"/>
    <w:rsid w:val="004F17F7"/>
    <w:rsid w:val="00503055"/>
    <w:rsid w:val="0052409C"/>
    <w:rsid w:val="00532B34"/>
    <w:rsid w:val="00561D07"/>
    <w:rsid w:val="00575ED7"/>
    <w:rsid w:val="00587BF1"/>
    <w:rsid w:val="005D7817"/>
    <w:rsid w:val="005D7D50"/>
    <w:rsid w:val="00622944"/>
    <w:rsid w:val="006238D6"/>
    <w:rsid w:val="00631783"/>
    <w:rsid w:val="006450C8"/>
    <w:rsid w:val="006477F6"/>
    <w:rsid w:val="00665931"/>
    <w:rsid w:val="00682C42"/>
    <w:rsid w:val="00683C1D"/>
    <w:rsid w:val="006965DE"/>
    <w:rsid w:val="006B5A06"/>
    <w:rsid w:val="006C5F4A"/>
    <w:rsid w:val="006D3C9F"/>
    <w:rsid w:val="00701B38"/>
    <w:rsid w:val="0073677F"/>
    <w:rsid w:val="007515A6"/>
    <w:rsid w:val="00751866"/>
    <w:rsid w:val="00771733"/>
    <w:rsid w:val="00794738"/>
    <w:rsid w:val="007974B4"/>
    <w:rsid w:val="007A5463"/>
    <w:rsid w:val="007E5609"/>
    <w:rsid w:val="007F0EB2"/>
    <w:rsid w:val="00801A0C"/>
    <w:rsid w:val="00814A98"/>
    <w:rsid w:val="00880692"/>
    <w:rsid w:val="008808E2"/>
    <w:rsid w:val="008810BC"/>
    <w:rsid w:val="008A042D"/>
    <w:rsid w:val="008A3F87"/>
    <w:rsid w:val="008B542C"/>
    <w:rsid w:val="008D1C94"/>
    <w:rsid w:val="008D741C"/>
    <w:rsid w:val="008E3E14"/>
    <w:rsid w:val="009048ED"/>
    <w:rsid w:val="00950BDD"/>
    <w:rsid w:val="00960225"/>
    <w:rsid w:val="00960FF4"/>
    <w:rsid w:val="00986568"/>
    <w:rsid w:val="009C22D5"/>
    <w:rsid w:val="00A02ECF"/>
    <w:rsid w:val="00A213A1"/>
    <w:rsid w:val="00A40115"/>
    <w:rsid w:val="00A54CAF"/>
    <w:rsid w:val="00AD6412"/>
    <w:rsid w:val="00AF0206"/>
    <w:rsid w:val="00AF6DBB"/>
    <w:rsid w:val="00B00645"/>
    <w:rsid w:val="00B07B03"/>
    <w:rsid w:val="00B540AF"/>
    <w:rsid w:val="00B917FD"/>
    <w:rsid w:val="00BA66EC"/>
    <w:rsid w:val="00BB5318"/>
    <w:rsid w:val="00BE6D48"/>
    <w:rsid w:val="00C33AB3"/>
    <w:rsid w:val="00C43B5C"/>
    <w:rsid w:val="00C52955"/>
    <w:rsid w:val="00C56BEC"/>
    <w:rsid w:val="00C61FF0"/>
    <w:rsid w:val="00C8023B"/>
    <w:rsid w:val="00C84683"/>
    <w:rsid w:val="00CB26B9"/>
    <w:rsid w:val="00CE3926"/>
    <w:rsid w:val="00D405D2"/>
    <w:rsid w:val="00D43AF1"/>
    <w:rsid w:val="00D514C6"/>
    <w:rsid w:val="00D91229"/>
    <w:rsid w:val="00D94CE9"/>
    <w:rsid w:val="00DA7C6F"/>
    <w:rsid w:val="00DB274D"/>
    <w:rsid w:val="00DB418F"/>
    <w:rsid w:val="00DC73C6"/>
    <w:rsid w:val="00DE2C80"/>
    <w:rsid w:val="00DE2FB2"/>
    <w:rsid w:val="00DE3B8E"/>
    <w:rsid w:val="00DF0CF8"/>
    <w:rsid w:val="00DF1ABF"/>
    <w:rsid w:val="00DF4B37"/>
    <w:rsid w:val="00E009B4"/>
    <w:rsid w:val="00E1669D"/>
    <w:rsid w:val="00E327BB"/>
    <w:rsid w:val="00E37689"/>
    <w:rsid w:val="00E4763C"/>
    <w:rsid w:val="00E70053"/>
    <w:rsid w:val="00E80A6B"/>
    <w:rsid w:val="00E90B6C"/>
    <w:rsid w:val="00EF55C3"/>
    <w:rsid w:val="00F17719"/>
    <w:rsid w:val="00F40A69"/>
    <w:rsid w:val="00F42951"/>
    <w:rsid w:val="00F45FEC"/>
    <w:rsid w:val="00F462CE"/>
    <w:rsid w:val="00F4719E"/>
    <w:rsid w:val="00F52321"/>
    <w:rsid w:val="00F9567E"/>
    <w:rsid w:val="00FF721B"/>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S"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225"/>
    <w:pPr>
      <w:widowControl w:val="0"/>
      <w:suppressAutoHyphens/>
    </w:pPr>
    <w:rPr>
      <w:rFonts w:ascii="TeX Gyre Bonum" w:eastAsia="TeX Gyre Bonum" w:hAnsi="TeX Gyre Bonum" w:cs="TeX Gyre Bonum"/>
      <w:sz w:val="22"/>
      <w:szCs w:val="22"/>
      <w:lang w:val="es-ES" w:eastAsia="en-US"/>
    </w:rPr>
  </w:style>
  <w:style w:type="paragraph" w:styleId="Ttulo1">
    <w:name w:val="heading 1"/>
    <w:basedOn w:val="Normal"/>
    <w:qFormat/>
    <w:pPr>
      <w:ind w:left="102"/>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TextodegloboCar">
    <w:name w:val="Texto de globo Car"/>
    <w:basedOn w:val="Fuentedeprrafopredeter1"/>
    <w:rPr>
      <w:rFonts w:ascii="Tahoma" w:eastAsia="TeX Gyre Bonum" w:hAnsi="Tahoma" w:cs="Tahoma"/>
      <w:sz w:val="16"/>
      <w:szCs w:val="16"/>
      <w:lang w:val="es-ES"/>
    </w:rPr>
  </w:style>
  <w:style w:type="character" w:customStyle="1" w:styleId="EncabezadoCar">
    <w:name w:val="Encabezado Car"/>
    <w:basedOn w:val="Fuentedeprrafopredeter1"/>
    <w:rPr>
      <w:rFonts w:ascii="TeX Gyre Bonum" w:eastAsia="TeX Gyre Bonum" w:hAnsi="TeX Gyre Bonum" w:cs="TeX Gyre Bonum"/>
      <w:lang w:val="es-ES"/>
    </w:rPr>
  </w:style>
  <w:style w:type="character" w:customStyle="1" w:styleId="PiedepginaCar">
    <w:name w:val="Pie de página Car"/>
    <w:basedOn w:val="Fuentedeprrafopredeter1"/>
    <w:rPr>
      <w:rFonts w:ascii="TeX Gyre Bonum" w:eastAsia="TeX Gyre Bonum" w:hAnsi="TeX Gyre Bonum" w:cs="TeX Gyre Bonum"/>
      <w:lang w:val="es-ES"/>
    </w:rPr>
  </w:style>
  <w:style w:type="character" w:customStyle="1" w:styleId="ListLabel1">
    <w:name w:val="ListLabel 1"/>
    <w:rPr>
      <w:rFonts w:eastAsia="TeX Gyre Bonum" w:cs="TeX Gyre Bonum"/>
      <w:spacing w:val="-29"/>
      <w:w w:val="99"/>
      <w:sz w:val="24"/>
      <w:szCs w:val="24"/>
      <w:lang w:val="es-ES" w:eastAsia="en-US" w:bidi="ar-SA"/>
    </w:rPr>
  </w:style>
  <w:style w:type="character" w:customStyle="1" w:styleId="ListLabel2">
    <w:name w:val="ListLabel 2"/>
    <w:rPr>
      <w:lang w:val="es-ES" w:eastAsia="en-US" w:bidi="ar-SA"/>
    </w:rPr>
  </w:style>
  <w:style w:type="character" w:customStyle="1" w:styleId="ListLabel3">
    <w:name w:val="ListLabel 3"/>
    <w:rPr>
      <w:lang w:val="es-ES" w:eastAsia="en-US" w:bidi="ar-SA"/>
    </w:rPr>
  </w:style>
  <w:style w:type="character" w:customStyle="1" w:styleId="ListLabel4">
    <w:name w:val="ListLabel 4"/>
    <w:rPr>
      <w:lang w:val="es-ES" w:eastAsia="en-US" w:bidi="ar-SA"/>
    </w:rPr>
  </w:style>
  <w:style w:type="character" w:customStyle="1" w:styleId="ListLabel5">
    <w:name w:val="ListLabel 5"/>
    <w:rPr>
      <w:lang w:val="es-ES" w:eastAsia="en-US" w:bidi="ar-SA"/>
    </w:rPr>
  </w:style>
  <w:style w:type="character" w:customStyle="1" w:styleId="ListLabel6">
    <w:name w:val="ListLabel 6"/>
    <w:rPr>
      <w:lang w:val="es-ES" w:eastAsia="en-US" w:bidi="ar-SA"/>
    </w:rPr>
  </w:style>
  <w:style w:type="character" w:customStyle="1" w:styleId="ListLabel7">
    <w:name w:val="ListLabel 7"/>
    <w:rPr>
      <w:lang w:val="es-ES" w:eastAsia="en-US" w:bidi="ar-SA"/>
    </w:rPr>
  </w:style>
  <w:style w:type="character" w:customStyle="1" w:styleId="ListLabel8">
    <w:name w:val="ListLabel 8"/>
    <w:rPr>
      <w:lang w:val="es-ES" w:eastAsia="en-US" w:bidi="ar-SA"/>
    </w:rPr>
  </w:style>
  <w:style w:type="character" w:customStyle="1" w:styleId="ListLabel9">
    <w:name w:val="ListLabel 9"/>
    <w:rPr>
      <w:lang w:val="es-ES" w:eastAsia="en-US" w:bidi="ar-SA"/>
    </w:rPr>
  </w:style>
  <w:style w:type="character" w:styleId="Hipervnculo">
    <w:name w:val="Hyperlink"/>
    <w:rPr>
      <w:color w:val="000080"/>
      <w:u w:val="single"/>
    </w:rPr>
  </w:style>
  <w:style w:type="paragraph" w:customStyle="1" w:styleId="Ttulo10">
    <w:name w:val="Título1"/>
    <w:basedOn w:val="Normal"/>
    <w:next w:val="Textoindependiente"/>
    <w:pPr>
      <w:keepNext/>
      <w:spacing w:before="240" w:after="120"/>
    </w:pPr>
    <w:rPr>
      <w:rFonts w:ascii="Liberation Sans" w:eastAsia="Microsoft YaHei" w:hAnsi="Liberation Sans" w:cs="Lucida Sans"/>
      <w:sz w:val="28"/>
      <w:szCs w:val="28"/>
    </w:rPr>
  </w:style>
  <w:style w:type="paragraph" w:styleId="Textoindependiente">
    <w:name w:val="Body Text"/>
    <w:basedOn w:val="Normal"/>
    <w:pPr>
      <w:ind w:left="102" w:firstLine="707"/>
      <w:jc w:val="both"/>
    </w:pPr>
    <w:rPr>
      <w:sz w:val="24"/>
      <w:szCs w:val="24"/>
    </w:r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pPr>
      <w:suppressLineNumbers/>
    </w:pPr>
    <w:rPr>
      <w:rFonts w:cs="Lucida Sans"/>
    </w:rPr>
  </w:style>
  <w:style w:type="paragraph" w:customStyle="1" w:styleId="Prrafodelista1">
    <w:name w:val="Párrafo de lista1"/>
    <w:basedOn w:val="Normal"/>
    <w:pPr>
      <w:ind w:left="1244" w:right="102" w:hanging="360"/>
      <w:jc w:val="both"/>
    </w:pPr>
  </w:style>
  <w:style w:type="paragraph" w:customStyle="1" w:styleId="TableParagraph">
    <w:name w:val="Table Paragraph"/>
    <w:basedOn w:val="Normal"/>
  </w:style>
  <w:style w:type="paragraph" w:customStyle="1" w:styleId="Textodeglobo1">
    <w:name w:val="Texto de globo1"/>
    <w:basedOn w:val="Normal"/>
    <w:rPr>
      <w:rFonts w:ascii="Tahoma" w:hAnsi="Tahoma" w:cs="Tahoma"/>
      <w:sz w:val="16"/>
      <w:szCs w:val="16"/>
    </w:rPr>
  </w:style>
  <w:style w:type="paragraph" w:customStyle="1" w:styleId="Cabeceraypie">
    <w:name w:val="Cabecera y pie"/>
    <w:basedOn w:val="Normal"/>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link w:val="TextodegloboCar1"/>
    <w:uiPriority w:val="99"/>
    <w:semiHidden/>
    <w:unhideWhenUsed/>
    <w:rsid w:val="006238D6"/>
    <w:rPr>
      <w:rFonts w:ascii="Tahoma" w:hAnsi="Tahoma" w:cs="Tahoma"/>
      <w:sz w:val="16"/>
      <w:szCs w:val="16"/>
    </w:rPr>
  </w:style>
  <w:style w:type="character" w:customStyle="1" w:styleId="TextodegloboCar1">
    <w:name w:val="Texto de globo Car1"/>
    <w:basedOn w:val="Fuentedeprrafopredeter"/>
    <w:link w:val="Textodeglobo"/>
    <w:uiPriority w:val="99"/>
    <w:semiHidden/>
    <w:rsid w:val="006238D6"/>
    <w:rPr>
      <w:rFonts w:ascii="Tahoma" w:eastAsia="TeX Gyre Bonum" w:hAnsi="Tahoma" w:cs="Tahoma"/>
      <w:sz w:val="16"/>
      <w:szCs w:val="16"/>
      <w:lang w:val="es-ES" w:eastAsia="en-US"/>
    </w:rPr>
  </w:style>
  <w:style w:type="character" w:styleId="Refdecomentario">
    <w:name w:val="annotation reference"/>
    <w:basedOn w:val="Fuentedeprrafopredeter"/>
    <w:uiPriority w:val="99"/>
    <w:semiHidden/>
    <w:unhideWhenUsed/>
    <w:rsid w:val="00F17719"/>
    <w:rPr>
      <w:sz w:val="16"/>
      <w:szCs w:val="16"/>
    </w:rPr>
  </w:style>
  <w:style w:type="paragraph" w:styleId="Textocomentario">
    <w:name w:val="annotation text"/>
    <w:basedOn w:val="Normal"/>
    <w:link w:val="TextocomentarioCar"/>
    <w:uiPriority w:val="99"/>
    <w:semiHidden/>
    <w:unhideWhenUsed/>
    <w:rsid w:val="00F17719"/>
    <w:rPr>
      <w:sz w:val="20"/>
      <w:szCs w:val="20"/>
    </w:rPr>
  </w:style>
  <w:style w:type="character" w:customStyle="1" w:styleId="TextocomentarioCar">
    <w:name w:val="Texto comentario Car"/>
    <w:basedOn w:val="Fuentedeprrafopredeter"/>
    <w:link w:val="Textocomentario"/>
    <w:uiPriority w:val="99"/>
    <w:semiHidden/>
    <w:rsid w:val="00F17719"/>
    <w:rPr>
      <w:rFonts w:ascii="TeX Gyre Bonum" w:eastAsia="TeX Gyre Bonum" w:hAnsi="TeX Gyre Bonum" w:cs="TeX Gyre Bonum"/>
      <w:lang w:val="es-ES" w:eastAsia="en-US"/>
    </w:rPr>
  </w:style>
  <w:style w:type="paragraph" w:styleId="Asuntodelcomentario">
    <w:name w:val="annotation subject"/>
    <w:basedOn w:val="Textocomentario"/>
    <w:next w:val="Textocomentario"/>
    <w:link w:val="AsuntodelcomentarioCar"/>
    <w:uiPriority w:val="99"/>
    <w:semiHidden/>
    <w:unhideWhenUsed/>
    <w:rsid w:val="00F17719"/>
    <w:rPr>
      <w:b/>
      <w:bCs/>
    </w:rPr>
  </w:style>
  <w:style w:type="character" w:customStyle="1" w:styleId="AsuntodelcomentarioCar">
    <w:name w:val="Asunto del comentario Car"/>
    <w:basedOn w:val="TextocomentarioCar"/>
    <w:link w:val="Asuntodelcomentario"/>
    <w:uiPriority w:val="99"/>
    <w:semiHidden/>
    <w:rsid w:val="00F17719"/>
    <w:rPr>
      <w:rFonts w:ascii="TeX Gyre Bonum" w:eastAsia="TeX Gyre Bonum" w:hAnsi="TeX Gyre Bonum" w:cs="TeX Gyre Bonum"/>
      <w:b/>
      <w:bCs/>
      <w:lang w:val="es-ES" w:eastAsia="en-US"/>
    </w:rPr>
  </w:style>
  <w:style w:type="paragraph" w:styleId="Textonotapie">
    <w:name w:val="footnote text"/>
    <w:basedOn w:val="Normal"/>
    <w:link w:val="TextonotapieCar"/>
    <w:uiPriority w:val="99"/>
    <w:semiHidden/>
    <w:unhideWhenUsed/>
    <w:rsid w:val="004873F1"/>
    <w:rPr>
      <w:sz w:val="20"/>
      <w:szCs w:val="20"/>
    </w:rPr>
  </w:style>
  <w:style w:type="character" w:customStyle="1" w:styleId="TextonotapieCar">
    <w:name w:val="Texto nota pie Car"/>
    <w:basedOn w:val="Fuentedeprrafopredeter"/>
    <w:link w:val="Textonotapie"/>
    <w:uiPriority w:val="99"/>
    <w:semiHidden/>
    <w:rsid w:val="004873F1"/>
    <w:rPr>
      <w:rFonts w:ascii="TeX Gyre Bonum" w:eastAsia="TeX Gyre Bonum" w:hAnsi="TeX Gyre Bonum" w:cs="TeX Gyre Bonum"/>
      <w:lang w:val="es-ES" w:eastAsia="en-US"/>
    </w:rPr>
  </w:style>
  <w:style w:type="character" w:styleId="Refdenotaalpie">
    <w:name w:val="footnote reference"/>
    <w:basedOn w:val="Fuentedeprrafopredeter"/>
    <w:uiPriority w:val="99"/>
    <w:semiHidden/>
    <w:unhideWhenUsed/>
    <w:rsid w:val="004873F1"/>
    <w:rPr>
      <w:vertAlign w:val="superscript"/>
    </w:rPr>
  </w:style>
  <w:style w:type="paragraph" w:styleId="Prrafodelista">
    <w:name w:val="List Paragraph"/>
    <w:basedOn w:val="Normal"/>
    <w:uiPriority w:val="34"/>
    <w:qFormat/>
    <w:rsid w:val="00F523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S"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225"/>
    <w:pPr>
      <w:widowControl w:val="0"/>
      <w:suppressAutoHyphens/>
    </w:pPr>
    <w:rPr>
      <w:rFonts w:ascii="TeX Gyre Bonum" w:eastAsia="TeX Gyre Bonum" w:hAnsi="TeX Gyre Bonum" w:cs="TeX Gyre Bonum"/>
      <w:sz w:val="22"/>
      <w:szCs w:val="22"/>
      <w:lang w:val="es-ES" w:eastAsia="en-US"/>
    </w:rPr>
  </w:style>
  <w:style w:type="paragraph" w:styleId="Ttulo1">
    <w:name w:val="heading 1"/>
    <w:basedOn w:val="Normal"/>
    <w:qFormat/>
    <w:pPr>
      <w:ind w:left="102"/>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TextodegloboCar">
    <w:name w:val="Texto de globo Car"/>
    <w:basedOn w:val="Fuentedeprrafopredeter1"/>
    <w:rPr>
      <w:rFonts w:ascii="Tahoma" w:eastAsia="TeX Gyre Bonum" w:hAnsi="Tahoma" w:cs="Tahoma"/>
      <w:sz w:val="16"/>
      <w:szCs w:val="16"/>
      <w:lang w:val="es-ES"/>
    </w:rPr>
  </w:style>
  <w:style w:type="character" w:customStyle="1" w:styleId="EncabezadoCar">
    <w:name w:val="Encabezado Car"/>
    <w:basedOn w:val="Fuentedeprrafopredeter1"/>
    <w:rPr>
      <w:rFonts w:ascii="TeX Gyre Bonum" w:eastAsia="TeX Gyre Bonum" w:hAnsi="TeX Gyre Bonum" w:cs="TeX Gyre Bonum"/>
      <w:lang w:val="es-ES"/>
    </w:rPr>
  </w:style>
  <w:style w:type="character" w:customStyle="1" w:styleId="PiedepginaCar">
    <w:name w:val="Pie de página Car"/>
    <w:basedOn w:val="Fuentedeprrafopredeter1"/>
    <w:rPr>
      <w:rFonts w:ascii="TeX Gyre Bonum" w:eastAsia="TeX Gyre Bonum" w:hAnsi="TeX Gyre Bonum" w:cs="TeX Gyre Bonum"/>
      <w:lang w:val="es-ES"/>
    </w:rPr>
  </w:style>
  <w:style w:type="character" w:customStyle="1" w:styleId="ListLabel1">
    <w:name w:val="ListLabel 1"/>
    <w:rPr>
      <w:rFonts w:eastAsia="TeX Gyre Bonum" w:cs="TeX Gyre Bonum"/>
      <w:spacing w:val="-29"/>
      <w:w w:val="99"/>
      <w:sz w:val="24"/>
      <w:szCs w:val="24"/>
      <w:lang w:val="es-ES" w:eastAsia="en-US" w:bidi="ar-SA"/>
    </w:rPr>
  </w:style>
  <w:style w:type="character" w:customStyle="1" w:styleId="ListLabel2">
    <w:name w:val="ListLabel 2"/>
    <w:rPr>
      <w:lang w:val="es-ES" w:eastAsia="en-US" w:bidi="ar-SA"/>
    </w:rPr>
  </w:style>
  <w:style w:type="character" w:customStyle="1" w:styleId="ListLabel3">
    <w:name w:val="ListLabel 3"/>
    <w:rPr>
      <w:lang w:val="es-ES" w:eastAsia="en-US" w:bidi="ar-SA"/>
    </w:rPr>
  </w:style>
  <w:style w:type="character" w:customStyle="1" w:styleId="ListLabel4">
    <w:name w:val="ListLabel 4"/>
    <w:rPr>
      <w:lang w:val="es-ES" w:eastAsia="en-US" w:bidi="ar-SA"/>
    </w:rPr>
  </w:style>
  <w:style w:type="character" w:customStyle="1" w:styleId="ListLabel5">
    <w:name w:val="ListLabel 5"/>
    <w:rPr>
      <w:lang w:val="es-ES" w:eastAsia="en-US" w:bidi="ar-SA"/>
    </w:rPr>
  </w:style>
  <w:style w:type="character" w:customStyle="1" w:styleId="ListLabel6">
    <w:name w:val="ListLabel 6"/>
    <w:rPr>
      <w:lang w:val="es-ES" w:eastAsia="en-US" w:bidi="ar-SA"/>
    </w:rPr>
  </w:style>
  <w:style w:type="character" w:customStyle="1" w:styleId="ListLabel7">
    <w:name w:val="ListLabel 7"/>
    <w:rPr>
      <w:lang w:val="es-ES" w:eastAsia="en-US" w:bidi="ar-SA"/>
    </w:rPr>
  </w:style>
  <w:style w:type="character" w:customStyle="1" w:styleId="ListLabel8">
    <w:name w:val="ListLabel 8"/>
    <w:rPr>
      <w:lang w:val="es-ES" w:eastAsia="en-US" w:bidi="ar-SA"/>
    </w:rPr>
  </w:style>
  <w:style w:type="character" w:customStyle="1" w:styleId="ListLabel9">
    <w:name w:val="ListLabel 9"/>
    <w:rPr>
      <w:lang w:val="es-ES" w:eastAsia="en-US" w:bidi="ar-SA"/>
    </w:rPr>
  </w:style>
  <w:style w:type="character" w:styleId="Hipervnculo">
    <w:name w:val="Hyperlink"/>
    <w:rPr>
      <w:color w:val="000080"/>
      <w:u w:val="single"/>
    </w:rPr>
  </w:style>
  <w:style w:type="paragraph" w:customStyle="1" w:styleId="Ttulo10">
    <w:name w:val="Título1"/>
    <w:basedOn w:val="Normal"/>
    <w:next w:val="Textoindependiente"/>
    <w:pPr>
      <w:keepNext/>
      <w:spacing w:before="240" w:after="120"/>
    </w:pPr>
    <w:rPr>
      <w:rFonts w:ascii="Liberation Sans" w:eastAsia="Microsoft YaHei" w:hAnsi="Liberation Sans" w:cs="Lucida Sans"/>
      <w:sz w:val="28"/>
      <w:szCs w:val="28"/>
    </w:rPr>
  </w:style>
  <w:style w:type="paragraph" w:styleId="Textoindependiente">
    <w:name w:val="Body Text"/>
    <w:basedOn w:val="Normal"/>
    <w:pPr>
      <w:ind w:left="102" w:firstLine="707"/>
      <w:jc w:val="both"/>
    </w:pPr>
    <w:rPr>
      <w:sz w:val="24"/>
      <w:szCs w:val="24"/>
    </w:r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pPr>
      <w:suppressLineNumbers/>
    </w:pPr>
    <w:rPr>
      <w:rFonts w:cs="Lucida Sans"/>
    </w:rPr>
  </w:style>
  <w:style w:type="paragraph" w:customStyle="1" w:styleId="Prrafodelista1">
    <w:name w:val="Párrafo de lista1"/>
    <w:basedOn w:val="Normal"/>
    <w:pPr>
      <w:ind w:left="1244" w:right="102" w:hanging="360"/>
      <w:jc w:val="both"/>
    </w:pPr>
  </w:style>
  <w:style w:type="paragraph" w:customStyle="1" w:styleId="TableParagraph">
    <w:name w:val="Table Paragraph"/>
    <w:basedOn w:val="Normal"/>
  </w:style>
  <w:style w:type="paragraph" w:customStyle="1" w:styleId="Textodeglobo1">
    <w:name w:val="Texto de globo1"/>
    <w:basedOn w:val="Normal"/>
    <w:rPr>
      <w:rFonts w:ascii="Tahoma" w:hAnsi="Tahoma" w:cs="Tahoma"/>
      <w:sz w:val="16"/>
      <w:szCs w:val="16"/>
    </w:rPr>
  </w:style>
  <w:style w:type="paragraph" w:customStyle="1" w:styleId="Cabeceraypie">
    <w:name w:val="Cabecera y pie"/>
    <w:basedOn w:val="Normal"/>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link w:val="TextodegloboCar1"/>
    <w:uiPriority w:val="99"/>
    <w:semiHidden/>
    <w:unhideWhenUsed/>
    <w:rsid w:val="006238D6"/>
    <w:rPr>
      <w:rFonts w:ascii="Tahoma" w:hAnsi="Tahoma" w:cs="Tahoma"/>
      <w:sz w:val="16"/>
      <w:szCs w:val="16"/>
    </w:rPr>
  </w:style>
  <w:style w:type="character" w:customStyle="1" w:styleId="TextodegloboCar1">
    <w:name w:val="Texto de globo Car1"/>
    <w:basedOn w:val="Fuentedeprrafopredeter"/>
    <w:link w:val="Textodeglobo"/>
    <w:uiPriority w:val="99"/>
    <w:semiHidden/>
    <w:rsid w:val="006238D6"/>
    <w:rPr>
      <w:rFonts w:ascii="Tahoma" w:eastAsia="TeX Gyre Bonum" w:hAnsi="Tahoma" w:cs="Tahoma"/>
      <w:sz w:val="16"/>
      <w:szCs w:val="16"/>
      <w:lang w:val="es-ES" w:eastAsia="en-US"/>
    </w:rPr>
  </w:style>
  <w:style w:type="character" w:styleId="Refdecomentario">
    <w:name w:val="annotation reference"/>
    <w:basedOn w:val="Fuentedeprrafopredeter"/>
    <w:uiPriority w:val="99"/>
    <w:semiHidden/>
    <w:unhideWhenUsed/>
    <w:rsid w:val="00F17719"/>
    <w:rPr>
      <w:sz w:val="16"/>
      <w:szCs w:val="16"/>
    </w:rPr>
  </w:style>
  <w:style w:type="paragraph" w:styleId="Textocomentario">
    <w:name w:val="annotation text"/>
    <w:basedOn w:val="Normal"/>
    <w:link w:val="TextocomentarioCar"/>
    <w:uiPriority w:val="99"/>
    <w:semiHidden/>
    <w:unhideWhenUsed/>
    <w:rsid w:val="00F17719"/>
    <w:rPr>
      <w:sz w:val="20"/>
      <w:szCs w:val="20"/>
    </w:rPr>
  </w:style>
  <w:style w:type="character" w:customStyle="1" w:styleId="TextocomentarioCar">
    <w:name w:val="Texto comentario Car"/>
    <w:basedOn w:val="Fuentedeprrafopredeter"/>
    <w:link w:val="Textocomentario"/>
    <w:uiPriority w:val="99"/>
    <w:semiHidden/>
    <w:rsid w:val="00F17719"/>
    <w:rPr>
      <w:rFonts w:ascii="TeX Gyre Bonum" w:eastAsia="TeX Gyre Bonum" w:hAnsi="TeX Gyre Bonum" w:cs="TeX Gyre Bonum"/>
      <w:lang w:val="es-ES" w:eastAsia="en-US"/>
    </w:rPr>
  </w:style>
  <w:style w:type="paragraph" w:styleId="Asuntodelcomentario">
    <w:name w:val="annotation subject"/>
    <w:basedOn w:val="Textocomentario"/>
    <w:next w:val="Textocomentario"/>
    <w:link w:val="AsuntodelcomentarioCar"/>
    <w:uiPriority w:val="99"/>
    <w:semiHidden/>
    <w:unhideWhenUsed/>
    <w:rsid w:val="00F17719"/>
    <w:rPr>
      <w:b/>
      <w:bCs/>
    </w:rPr>
  </w:style>
  <w:style w:type="character" w:customStyle="1" w:styleId="AsuntodelcomentarioCar">
    <w:name w:val="Asunto del comentario Car"/>
    <w:basedOn w:val="TextocomentarioCar"/>
    <w:link w:val="Asuntodelcomentario"/>
    <w:uiPriority w:val="99"/>
    <w:semiHidden/>
    <w:rsid w:val="00F17719"/>
    <w:rPr>
      <w:rFonts w:ascii="TeX Gyre Bonum" w:eastAsia="TeX Gyre Bonum" w:hAnsi="TeX Gyre Bonum" w:cs="TeX Gyre Bonum"/>
      <w:b/>
      <w:bCs/>
      <w:lang w:val="es-ES" w:eastAsia="en-US"/>
    </w:rPr>
  </w:style>
  <w:style w:type="paragraph" w:styleId="Textonotapie">
    <w:name w:val="footnote text"/>
    <w:basedOn w:val="Normal"/>
    <w:link w:val="TextonotapieCar"/>
    <w:uiPriority w:val="99"/>
    <w:semiHidden/>
    <w:unhideWhenUsed/>
    <w:rsid w:val="004873F1"/>
    <w:rPr>
      <w:sz w:val="20"/>
      <w:szCs w:val="20"/>
    </w:rPr>
  </w:style>
  <w:style w:type="character" w:customStyle="1" w:styleId="TextonotapieCar">
    <w:name w:val="Texto nota pie Car"/>
    <w:basedOn w:val="Fuentedeprrafopredeter"/>
    <w:link w:val="Textonotapie"/>
    <w:uiPriority w:val="99"/>
    <w:semiHidden/>
    <w:rsid w:val="004873F1"/>
    <w:rPr>
      <w:rFonts w:ascii="TeX Gyre Bonum" w:eastAsia="TeX Gyre Bonum" w:hAnsi="TeX Gyre Bonum" w:cs="TeX Gyre Bonum"/>
      <w:lang w:val="es-ES" w:eastAsia="en-US"/>
    </w:rPr>
  </w:style>
  <w:style w:type="character" w:styleId="Refdenotaalpie">
    <w:name w:val="footnote reference"/>
    <w:basedOn w:val="Fuentedeprrafopredeter"/>
    <w:uiPriority w:val="99"/>
    <w:semiHidden/>
    <w:unhideWhenUsed/>
    <w:rsid w:val="004873F1"/>
    <w:rPr>
      <w:vertAlign w:val="superscript"/>
    </w:rPr>
  </w:style>
  <w:style w:type="paragraph" w:styleId="Prrafodelista">
    <w:name w:val="List Paragraph"/>
    <w:basedOn w:val="Normal"/>
    <w:uiPriority w:val="34"/>
    <w:qFormat/>
    <w:rsid w:val="00F523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pixelsPerInch w:val="4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maradey@mailsenadoer.gob.a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D1F8D-BA04-4177-92B0-14994E78D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699</Words>
  <Characters>3845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VANE</cp:lastModifiedBy>
  <cp:revision>2</cp:revision>
  <cp:lastPrinted>2021-09-15T16:29:00Z</cp:lastPrinted>
  <dcterms:created xsi:type="dcterms:W3CDTF">2022-06-08T12:30:00Z</dcterms:created>
  <dcterms:modified xsi:type="dcterms:W3CDTF">2022-06-08T12:30:00Z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reated">
    <vt:filetime>2020-06-17T03:00:00Z</vt:filetime>
  </property>
  <property fmtid="{D5CDD505-2E9C-101B-9397-08002B2CF9AE}" pid="4" name="Creator">
    <vt:lpwstr>Microsoft® Word 2010</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2020-06-23T03:00:00Z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