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90198" w:rsidRDefault="00090198">
      <w:pPr>
        <w:pStyle w:val="normal0"/>
        <w:spacing w:line="360" w:lineRule="auto"/>
        <w:ind w:firstLine="5"/>
        <w:jc w:val="both"/>
      </w:pPr>
    </w:p>
    <w:p w:rsidR="00090198" w:rsidRDefault="00160032">
      <w:pPr>
        <w:pStyle w:val="normal0"/>
        <w:spacing w:line="360" w:lineRule="auto"/>
        <w:ind w:firstLine="5"/>
        <w:jc w:val="both"/>
      </w:pPr>
      <w:r>
        <w:rPr>
          <w:rFonts w:ascii="Arial" w:eastAsia="Arial" w:hAnsi="Arial" w:cs="Arial"/>
          <w:b/>
          <w:highlight w:val="white"/>
        </w:rPr>
        <w:t>HONORABLE SENADO</w:t>
      </w:r>
      <w:r>
        <w:rPr>
          <w:rFonts w:ascii="Arial" w:eastAsia="Arial" w:hAnsi="Arial" w:cs="Arial"/>
          <w:highlight w:val="white"/>
        </w:rPr>
        <w:t>:</w:t>
      </w:r>
    </w:p>
    <w:p w:rsidR="00090198" w:rsidRDefault="00160032">
      <w:pPr>
        <w:pStyle w:val="normal0"/>
        <w:spacing w:line="360" w:lineRule="auto"/>
        <w:ind w:firstLine="2690"/>
        <w:jc w:val="both"/>
      </w:pPr>
      <w:r>
        <w:rPr>
          <w:rFonts w:ascii="Arial" w:eastAsia="Arial" w:hAnsi="Arial" w:cs="Arial"/>
          <w:highlight w:val="white"/>
        </w:rPr>
        <w:t xml:space="preserve">El </w:t>
      </w:r>
      <w:r>
        <w:rPr>
          <w:rFonts w:ascii="Arial" w:eastAsia="Arial" w:hAnsi="Arial" w:cs="Arial"/>
          <w:b/>
          <w:highlight w:val="white"/>
        </w:rPr>
        <w:t>Prof.</w:t>
      </w:r>
      <w:r>
        <w:rPr>
          <w:rFonts w:ascii="Arial" w:eastAsia="Arial" w:hAnsi="Arial" w:cs="Arial"/>
          <w:highlight w:val="white"/>
        </w:rPr>
        <w:t xml:space="preserve"> </w:t>
      </w:r>
      <w:r>
        <w:rPr>
          <w:rFonts w:ascii="Arial" w:eastAsia="Arial" w:hAnsi="Arial" w:cs="Arial"/>
          <w:b/>
          <w:highlight w:val="white"/>
        </w:rPr>
        <w:t>JOSÉ LUIS PANOZZO</w:t>
      </w:r>
      <w:r>
        <w:rPr>
          <w:rFonts w:ascii="Arial" w:eastAsia="Arial" w:hAnsi="Arial" w:cs="Arial"/>
          <w:highlight w:val="white"/>
        </w:rPr>
        <w:t>, ha sido propuesto por el Poder Ejecutivo Provincial para ser nombrado Director General de Escuelas, de la Provincia de Entre Ríos, ingresando a este Senado el pedido de Acuerdo para tal designación.</w:t>
      </w:r>
    </w:p>
    <w:p w:rsidR="00090198" w:rsidRDefault="00160032">
      <w:pPr>
        <w:pStyle w:val="normal0"/>
        <w:spacing w:line="360" w:lineRule="auto"/>
        <w:ind w:firstLine="2690"/>
        <w:jc w:val="both"/>
      </w:pPr>
      <w:r>
        <w:rPr>
          <w:rFonts w:ascii="Arial" w:eastAsia="Arial" w:hAnsi="Arial" w:cs="Arial"/>
          <w:highlight w:val="white"/>
        </w:rPr>
        <w:t xml:space="preserve">Luego de haberse evaluado los antecedentes personales y curriculares del nombrado, esta Comisión, oportunamente, mediante resolución fundada dio por cumplimentados los incisos a), b), y c) del artículo 19º del Reglamento de la </w:t>
      </w:r>
      <w:proofErr w:type="spellStart"/>
      <w:r>
        <w:rPr>
          <w:rFonts w:ascii="Arial" w:eastAsia="Arial" w:hAnsi="Arial" w:cs="Arial"/>
          <w:highlight w:val="white"/>
        </w:rPr>
        <w:t>Hon</w:t>
      </w:r>
      <w:proofErr w:type="spellEnd"/>
      <w:r>
        <w:rPr>
          <w:rFonts w:ascii="Arial" w:eastAsia="Arial" w:hAnsi="Arial" w:cs="Arial"/>
          <w:highlight w:val="white"/>
        </w:rPr>
        <w:t xml:space="preserve"> </w:t>
      </w:r>
      <w:proofErr w:type="spellStart"/>
      <w:r>
        <w:rPr>
          <w:rFonts w:ascii="Arial" w:eastAsia="Arial" w:hAnsi="Arial" w:cs="Arial"/>
          <w:highlight w:val="white"/>
        </w:rPr>
        <w:t>orable</w:t>
      </w:r>
      <w:proofErr w:type="spellEnd"/>
      <w:r>
        <w:rPr>
          <w:rFonts w:ascii="Arial" w:eastAsia="Arial" w:hAnsi="Arial" w:cs="Arial"/>
          <w:highlight w:val="white"/>
        </w:rPr>
        <w:t xml:space="preserve"> Cámara de Senadore</w:t>
      </w:r>
      <w:r>
        <w:rPr>
          <w:rFonts w:ascii="Arial" w:eastAsia="Arial" w:hAnsi="Arial" w:cs="Arial"/>
          <w:highlight w:val="white"/>
        </w:rPr>
        <w:t>s y estableció fecha para la Audiencia Pública, facultando a la Secretaría de Cámara a realizar las comunicaciones pertinentes.</w:t>
      </w:r>
    </w:p>
    <w:p w:rsidR="00090198" w:rsidRDefault="00160032">
      <w:pPr>
        <w:pStyle w:val="normal0"/>
        <w:spacing w:line="360" w:lineRule="auto"/>
        <w:ind w:firstLine="2690"/>
        <w:jc w:val="both"/>
      </w:pPr>
      <w:r>
        <w:rPr>
          <w:rFonts w:ascii="Arial" w:eastAsia="Arial" w:hAnsi="Arial" w:cs="Arial"/>
          <w:highlight w:val="white"/>
        </w:rPr>
        <w:t>El pasado 18 de mayo, en el recinto de la Honorable Cámara de Senadores, se llevó a cabo la audiencia pública que ordena el artí</w:t>
      </w:r>
      <w:r>
        <w:rPr>
          <w:rFonts w:ascii="Arial" w:eastAsia="Arial" w:hAnsi="Arial" w:cs="Arial"/>
          <w:highlight w:val="white"/>
        </w:rPr>
        <w:t>culo 19º del Reglamento. En la misma, luego de la lectura del pedido de acuerdo remitido por el Poder Ejecutivo y de los antecedentes personales y curriculares del Prof. PANOZZO, se procedió a interrogar al mismo sobre sus planes de trabajo, sobre sus moti</w:t>
      </w:r>
      <w:r>
        <w:rPr>
          <w:rFonts w:ascii="Arial" w:eastAsia="Arial" w:hAnsi="Arial" w:cs="Arial"/>
          <w:highlight w:val="white"/>
        </w:rPr>
        <w:t>vaciones para ejercer el cargo, sobre su situación patrimonial y fiscal, sobre sus experiencias personales y también sobre sus propuestas en materia educativa.</w:t>
      </w:r>
    </w:p>
    <w:p w:rsidR="00090198" w:rsidRDefault="00160032">
      <w:pPr>
        <w:pStyle w:val="normal0"/>
        <w:spacing w:line="360" w:lineRule="auto"/>
        <w:ind w:firstLine="2690"/>
        <w:jc w:val="both"/>
      </w:pPr>
      <w:r>
        <w:rPr>
          <w:rFonts w:ascii="Arial" w:eastAsia="Arial" w:hAnsi="Arial" w:cs="Arial"/>
          <w:highlight w:val="white"/>
        </w:rPr>
        <w:t>En tales aspectos el postulante realizó una exposición con consideraciones y respuestas que para</w:t>
      </w:r>
      <w:r>
        <w:rPr>
          <w:rFonts w:ascii="Arial" w:eastAsia="Arial" w:hAnsi="Arial" w:cs="Arial"/>
          <w:highlight w:val="white"/>
        </w:rPr>
        <w:t xml:space="preserve"> quienes suscriben el presente dictamen han sido amplias y satisfactorias. Es por ello que, para nosotros, nos adelantamos a señalar, el Prof. PANOZZO reúne el requisito de idoneidad que marca el artículo 36 de la Constitución Provincial de Entre Ríos y es</w:t>
      </w:r>
      <w:r>
        <w:rPr>
          <w:rFonts w:ascii="Arial" w:eastAsia="Arial" w:hAnsi="Arial" w:cs="Arial"/>
          <w:highlight w:val="white"/>
        </w:rPr>
        <w:t xml:space="preserve"> merecedor del acuerdo solicitado a este órgano del Estado Provincial. </w:t>
      </w:r>
    </w:p>
    <w:p w:rsidR="00090198" w:rsidRDefault="00160032">
      <w:pPr>
        <w:pStyle w:val="normal0"/>
        <w:spacing w:line="360" w:lineRule="auto"/>
        <w:ind w:firstLine="2690"/>
        <w:jc w:val="both"/>
      </w:pPr>
      <w:r>
        <w:rPr>
          <w:rFonts w:ascii="Arial" w:eastAsia="Arial" w:hAnsi="Arial" w:cs="Arial"/>
          <w:highlight w:val="white"/>
        </w:rPr>
        <w:t>Además, es imprescindible no perder de vista que este Senado tiene la misión de prestar acuerdo o no a quien, no es ni más ni menos que un funcionario elegido por el Gobernador de la P</w:t>
      </w:r>
      <w:r>
        <w:rPr>
          <w:rFonts w:ascii="Arial" w:eastAsia="Arial" w:hAnsi="Arial" w:cs="Arial"/>
          <w:highlight w:val="white"/>
        </w:rPr>
        <w:t xml:space="preserve">rovincia para llevar adelante sus </w:t>
      </w:r>
      <w:r>
        <w:rPr>
          <w:rFonts w:ascii="Arial" w:eastAsia="Arial" w:hAnsi="Arial" w:cs="Arial"/>
          <w:highlight w:val="white"/>
        </w:rPr>
        <w:lastRenderedPageBreak/>
        <w:t xml:space="preserve">lineamientos para la educación entrerriana. Y es el Gobernador, quien fue elegido democráticamente por el pueblo ante quien presentó su plataforma educativa. </w:t>
      </w:r>
    </w:p>
    <w:p w:rsidR="00090198" w:rsidRDefault="00160032">
      <w:pPr>
        <w:pStyle w:val="normal0"/>
        <w:spacing w:line="360" w:lineRule="auto"/>
        <w:ind w:firstLine="2690"/>
        <w:jc w:val="both"/>
      </w:pPr>
      <w:r>
        <w:rPr>
          <w:rFonts w:ascii="Arial" w:eastAsia="Arial" w:hAnsi="Arial" w:cs="Arial"/>
          <w:highlight w:val="white"/>
        </w:rPr>
        <w:t>Dijimos que el Prof. PANOZZO tiene idoneidad suficiente para el</w:t>
      </w:r>
      <w:r>
        <w:rPr>
          <w:rFonts w:ascii="Arial" w:eastAsia="Arial" w:hAnsi="Arial" w:cs="Arial"/>
          <w:highlight w:val="white"/>
        </w:rPr>
        <w:t xml:space="preserve"> cargo propuesto y para así concluir, además de lo dicho, partimos de lo que la doctrina entiende por idoneidad: “Buena disposición y suficiencia para alguna cosa” (FERNANDEZ DE LEON, Gonzalo; “Diccionario Jurídico”; Tomo III, pág.180); y del convencimient</w:t>
      </w:r>
      <w:r>
        <w:rPr>
          <w:rFonts w:ascii="Arial" w:eastAsia="Arial" w:hAnsi="Arial" w:cs="Arial"/>
          <w:highlight w:val="white"/>
        </w:rPr>
        <w:t>o de que si los agentes de la administración pública son activos, diligentes y dinámicos, la administración será activa, diligente y rápida. Si por el contrario los funcionarios son torpes, incapaces, negligentes, perezosos en sus funciones, la administrac</w:t>
      </w:r>
      <w:r>
        <w:rPr>
          <w:rFonts w:ascii="Arial" w:eastAsia="Arial" w:hAnsi="Arial" w:cs="Arial"/>
          <w:highlight w:val="white"/>
        </w:rPr>
        <w:t xml:space="preserve">ión pública será inútil, deficiente y lerda (cfr. ALTAMIRA GIGENA, Julio; </w:t>
      </w:r>
      <w:r>
        <w:rPr>
          <w:rFonts w:ascii="Arial" w:eastAsia="Arial" w:hAnsi="Arial" w:cs="Arial"/>
        </w:rPr>
        <w:t xml:space="preserve">“Responsabilidad del Estado”, </w:t>
      </w:r>
      <w:r>
        <w:rPr>
          <w:rFonts w:ascii="Arial" w:eastAsia="Arial" w:hAnsi="Arial" w:cs="Arial"/>
          <w:highlight w:val="white"/>
        </w:rPr>
        <w:t>pág. 76).</w:t>
      </w:r>
    </w:p>
    <w:p w:rsidR="00090198" w:rsidRDefault="00160032">
      <w:pPr>
        <w:pStyle w:val="normal0"/>
        <w:spacing w:line="360" w:lineRule="auto"/>
        <w:ind w:firstLine="2690"/>
        <w:jc w:val="both"/>
      </w:pPr>
      <w:r>
        <w:rPr>
          <w:rFonts w:ascii="Arial" w:eastAsia="Arial" w:hAnsi="Arial" w:cs="Arial"/>
          <w:highlight w:val="white"/>
        </w:rPr>
        <w:t xml:space="preserve">El análisis que hacemos parte de la ley suprema del Estado. La Constitución Nacional (artículo 16) que dice: “... </w:t>
      </w:r>
      <w:r>
        <w:rPr>
          <w:rFonts w:ascii="Arial" w:eastAsia="Arial" w:hAnsi="Arial" w:cs="Arial"/>
          <w:i/>
          <w:highlight w:val="white"/>
        </w:rPr>
        <w:t>Todos sus habitantes son igu</w:t>
      </w:r>
      <w:r>
        <w:rPr>
          <w:rFonts w:ascii="Arial" w:eastAsia="Arial" w:hAnsi="Arial" w:cs="Arial"/>
          <w:i/>
          <w:highlight w:val="white"/>
        </w:rPr>
        <w:t>ales ante la ley, y admisibles en los empleos sin otra condición que la idoneidad...</w:t>
      </w:r>
      <w:r>
        <w:rPr>
          <w:rFonts w:ascii="Arial" w:eastAsia="Arial" w:hAnsi="Arial" w:cs="Arial"/>
          <w:highlight w:val="white"/>
        </w:rPr>
        <w:t>”; y la Constitución Provincial (artículo 36) que dice: “</w:t>
      </w:r>
      <w:r>
        <w:rPr>
          <w:rFonts w:ascii="Arial" w:eastAsia="Arial" w:hAnsi="Arial" w:cs="Arial"/>
          <w:i/>
        </w:rPr>
        <w:t>Todos los habitantes son admisibles en los empleos públicos provinciales, municipales y comunales o de otros organi</w:t>
      </w:r>
      <w:r>
        <w:rPr>
          <w:rFonts w:ascii="Arial" w:eastAsia="Arial" w:hAnsi="Arial" w:cs="Arial"/>
          <w:i/>
        </w:rPr>
        <w:t>smos en los que tenga participación el Estado, sin más requisito que la idoneidad, sin perjuicio de las calidades especiales exigidas por esta Constitución… En ningún caso, las razones étnicas, religiosas, ideológicas, políticas, gremiales, sexuales, econó</w:t>
      </w:r>
      <w:r>
        <w:rPr>
          <w:rFonts w:ascii="Arial" w:eastAsia="Arial" w:hAnsi="Arial" w:cs="Arial"/>
          <w:i/>
        </w:rPr>
        <w:t>micas, sociales, fundadas en caracteres físicos o de cualquier otra índole, serán motivo para discriminar o segregar al aspirante…</w:t>
      </w:r>
      <w:r>
        <w:rPr>
          <w:rFonts w:ascii="Arial" w:eastAsia="Arial" w:hAnsi="Arial" w:cs="Arial"/>
        </w:rPr>
        <w:t>”.</w:t>
      </w:r>
    </w:p>
    <w:p w:rsidR="00090198" w:rsidRDefault="00160032">
      <w:pPr>
        <w:pStyle w:val="normal0"/>
        <w:spacing w:line="360" w:lineRule="auto"/>
        <w:ind w:firstLine="2690"/>
        <w:jc w:val="both"/>
      </w:pPr>
      <w:r>
        <w:rPr>
          <w:rFonts w:ascii="Arial" w:eastAsia="Arial" w:hAnsi="Arial" w:cs="Arial"/>
          <w:highlight w:val="white"/>
        </w:rPr>
        <w:t>En cuanto a las calidades especiales, el artículo 264 de la Constitución Provincial refiere que: “</w:t>
      </w:r>
      <w:r>
        <w:rPr>
          <w:rFonts w:ascii="Arial" w:eastAsia="Arial" w:hAnsi="Arial" w:cs="Arial"/>
          <w:i/>
          <w:highlight w:val="white"/>
        </w:rPr>
        <w:t>El director general de es</w:t>
      </w:r>
      <w:r>
        <w:rPr>
          <w:rFonts w:ascii="Arial" w:eastAsia="Arial" w:hAnsi="Arial" w:cs="Arial"/>
          <w:i/>
          <w:highlight w:val="white"/>
        </w:rPr>
        <w:t>cuelas es responsable del gobierno y administración de la educación. Además de las condiciones que establezca la ley, debe ser argentino nativo o naturalizado y docente con diez años de ejercicio en cualquier modalidad. Iguales condiciones deben reunir los</w:t>
      </w:r>
      <w:r>
        <w:rPr>
          <w:rFonts w:ascii="Arial" w:eastAsia="Arial" w:hAnsi="Arial" w:cs="Arial"/>
          <w:i/>
          <w:highlight w:val="white"/>
        </w:rPr>
        <w:t xml:space="preserve"> vocales…</w:t>
      </w:r>
      <w:r>
        <w:rPr>
          <w:rFonts w:ascii="Arial" w:eastAsia="Arial" w:hAnsi="Arial" w:cs="Arial"/>
          <w:highlight w:val="white"/>
        </w:rPr>
        <w:t xml:space="preserve">”. Estas calidades especiales han sido verificadas y cumplidas por el Prof. PANOZZO. Igualmente han sido verificadas y cumplidas las directrices trazadas por la </w:t>
      </w:r>
      <w:r>
        <w:rPr>
          <w:rFonts w:ascii="Arial" w:eastAsia="Arial" w:hAnsi="Arial" w:cs="Arial"/>
          <w:highlight w:val="white"/>
        </w:rPr>
        <w:lastRenderedPageBreak/>
        <w:t>Constitución Provincial en materia educativa (Sección X, Educación Común, artículos 25</w:t>
      </w:r>
      <w:r>
        <w:rPr>
          <w:rFonts w:ascii="Arial" w:eastAsia="Arial" w:hAnsi="Arial" w:cs="Arial"/>
          <w:highlight w:val="white"/>
        </w:rPr>
        <w:t>7 y siguientes), como igualmente las de la Ley de Educación Provincial Nº 9.890.</w:t>
      </w:r>
    </w:p>
    <w:p w:rsidR="00090198" w:rsidRDefault="00160032">
      <w:pPr>
        <w:pStyle w:val="normal0"/>
        <w:spacing w:line="360" w:lineRule="auto"/>
        <w:ind w:firstLine="2690"/>
        <w:jc w:val="both"/>
      </w:pPr>
      <w:r>
        <w:rPr>
          <w:rFonts w:ascii="Arial" w:eastAsia="Arial" w:hAnsi="Arial" w:cs="Arial"/>
          <w:highlight w:val="white"/>
        </w:rPr>
        <w:t>La intervención del propuesto en la audiencia pública celebrada en el marco de este procedimiento, en la que solamente desde este bloque se le preguntó a PANOZZO sobre la polí</w:t>
      </w:r>
      <w:r>
        <w:rPr>
          <w:rFonts w:ascii="Arial" w:eastAsia="Arial" w:hAnsi="Arial" w:cs="Arial"/>
          <w:highlight w:val="white"/>
        </w:rPr>
        <w:t>tica educativa a llevar adelante, resulta suficientemente demostrativa de que sus planes de trabajo, sus motivaciones, sus experiencias y sus propuestas en materia educativa van en la misma dirección que los derechos y principios rectores dispuestos por lo</w:t>
      </w:r>
      <w:r>
        <w:rPr>
          <w:rFonts w:ascii="Arial" w:eastAsia="Arial" w:hAnsi="Arial" w:cs="Arial"/>
          <w:highlight w:val="white"/>
        </w:rPr>
        <w:t>s convencionales entrerrianos del 2008 y en la ley provincial de la materia.</w:t>
      </w:r>
    </w:p>
    <w:p w:rsidR="00090198" w:rsidRDefault="00160032">
      <w:pPr>
        <w:pStyle w:val="normal0"/>
        <w:spacing w:line="360" w:lineRule="auto"/>
        <w:ind w:firstLine="2690"/>
        <w:jc w:val="both"/>
      </w:pPr>
      <w:r>
        <w:rPr>
          <w:rFonts w:ascii="Arial" w:eastAsia="Arial" w:hAnsi="Arial" w:cs="Arial"/>
        </w:rPr>
        <w:t>Pero además de ello, en el marco de la decisión a tomar en el presente pedido de acuerdo, tienen suma importancia otros principios y garantías también de orden constitucional, a s</w:t>
      </w:r>
      <w:r>
        <w:rPr>
          <w:rFonts w:ascii="Arial" w:eastAsia="Arial" w:hAnsi="Arial" w:cs="Arial"/>
        </w:rPr>
        <w:t>aber: e</w:t>
      </w:r>
      <w:r>
        <w:rPr>
          <w:rFonts w:ascii="Arial" w:eastAsia="Arial" w:hAnsi="Arial" w:cs="Arial"/>
          <w:highlight w:val="white"/>
        </w:rPr>
        <w:t xml:space="preserve">l principio de presunción de inocencia; </w:t>
      </w:r>
      <w:r>
        <w:rPr>
          <w:rFonts w:ascii="Arial" w:eastAsia="Arial" w:hAnsi="Arial" w:cs="Arial"/>
        </w:rPr>
        <w:t xml:space="preserve">las garantías del debido proceso y la garantía de imparcialidad. </w:t>
      </w:r>
    </w:p>
    <w:p w:rsidR="00090198" w:rsidRDefault="00160032">
      <w:pPr>
        <w:pStyle w:val="normal0"/>
        <w:spacing w:line="360" w:lineRule="auto"/>
        <w:ind w:firstLine="2690"/>
        <w:jc w:val="both"/>
      </w:pPr>
      <w:r>
        <w:rPr>
          <w:rFonts w:ascii="Arial" w:eastAsia="Arial" w:hAnsi="Arial" w:cs="Arial"/>
          <w:highlight w:val="white"/>
        </w:rPr>
        <w:t>La presunción de inocencia es la institución jurídica más importante con la que cuentan cualquier particular para resguardarse de una posible a</w:t>
      </w:r>
      <w:r>
        <w:rPr>
          <w:rFonts w:ascii="Arial" w:eastAsia="Arial" w:hAnsi="Arial" w:cs="Arial"/>
          <w:highlight w:val="white"/>
        </w:rPr>
        <w:t>rbitrariedad en las actuaciones del Estado; de modo que no sólo es un principio del debido proceso, sino también una garantía de la dignidad humana.</w:t>
      </w:r>
      <w:r>
        <w:rPr>
          <w:rFonts w:ascii="Arial" w:eastAsia="Arial" w:hAnsi="Arial" w:cs="Arial"/>
        </w:rPr>
        <w:t xml:space="preserve"> </w:t>
      </w:r>
      <w:r>
        <w:rPr>
          <w:rFonts w:ascii="Arial" w:eastAsia="Arial" w:hAnsi="Arial" w:cs="Arial"/>
          <w:highlight w:val="white"/>
        </w:rPr>
        <w:t xml:space="preserve">Es un derecho fundamental que la Constitución Nacional reconoce y garantiza en general. </w:t>
      </w:r>
    </w:p>
    <w:p w:rsidR="00090198" w:rsidRDefault="00160032">
      <w:pPr>
        <w:pStyle w:val="normal0"/>
        <w:spacing w:line="360" w:lineRule="auto"/>
        <w:ind w:firstLine="2690"/>
        <w:jc w:val="both"/>
      </w:pPr>
      <w:r>
        <w:rPr>
          <w:rFonts w:ascii="Arial" w:eastAsia="Arial" w:hAnsi="Arial" w:cs="Arial"/>
          <w:highlight w:val="white"/>
        </w:rPr>
        <w:t>Su alcance trascie</w:t>
      </w:r>
      <w:r>
        <w:rPr>
          <w:rFonts w:ascii="Arial" w:eastAsia="Arial" w:hAnsi="Arial" w:cs="Arial"/>
          <w:highlight w:val="white"/>
        </w:rPr>
        <w:t>nde la órbita del debido proceso, pues con su aplicación se garantiza la protección de otros derechos fundamentales como son la dignidad humana, la libertad, la honra y el buen nombre, que podrían resultar vulnerados por actuaciones irregulares. Tan es así</w:t>
      </w:r>
      <w:r>
        <w:rPr>
          <w:rFonts w:ascii="Arial" w:eastAsia="Arial" w:hAnsi="Arial" w:cs="Arial"/>
          <w:highlight w:val="white"/>
        </w:rPr>
        <w:t xml:space="preserve">, que este principio opera también en las situaciones extraprocesales o extrajudiciales, como la que nos ocupa, y constituye el derecho a recibir la consideración y el trato de "no autor o no partícipe" en un hecho o infracción mientras no se demuestre la </w:t>
      </w:r>
      <w:r>
        <w:rPr>
          <w:rFonts w:ascii="Arial" w:eastAsia="Arial" w:hAnsi="Arial" w:cs="Arial"/>
          <w:highlight w:val="white"/>
        </w:rPr>
        <w:t>culpabilidad; por ende, otorga el derecho a que no se apliquen las consecuencias a los efectos jurídicos privativos vinculados a tales hechos, en cualquier materia.</w:t>
      </w:r>
    </w:p>
    <w:p w:rsidR="00090198" w:rsidRDefault="00160032">
      <w:pPr>
        <w:pStyle w:val="normal0"/>
        <w:spacing w:line="360" w:lineRule="auto"/>
        <w:ind w:firstLine="2690"/>
        <w:jc w:val="both"/>
      </w:pPr>
      <w:r>
        <w:rPr>
          <w:rFonts w:ascii="Arial" w:eastAsia="Arial" w:hAnsi="Arial" w:cs="Arial"/>
        </w:rPr>
        <w:t>La Corte Interamericana de Derechos Humanos sostuvo que a pesar de que el artículo 8º del P</w:t>
      </w:r>
      <w:r>
        <w:rPr>
          <w:rFonts w:ascii="Arial" w:eastAsia="Arial" w:hAnsi="Arial" w:cs="Arial"/>
        </w:rPr>
        <w:t xml:space="preserve">acto de San José, que contiene las garantías </w:t>
      </w:r>
      <w:r>
        <w:rPr>
          <w:rFonts w:ascii="Arial" w:eastAsia="Arial" w:hAnsi="Arial" w:cs="Arial"/>
        </w:rPr>
        <w:lastRenderedPageBreak/>
        <w:t>del debido proceso -entre las que se encuentra la presunción de inocencia- no especifica los ámbitos de aplicación de dichas garantías, es aplicable todos los órdenes señalando que: “</w:t>
      </w:r>
      <w:r>
        <w:rPr>
          <w:rFonts w:ascii="Arial" w:eastAsia="Arial" w:hAnsi="Arial" w:cs="Arial"/>
          <w:i/>
        </w:rPr>
        <w:t>el elenco de garantías mínim</w:t>
      </w:r>
      <w:r>
        <w:rPr>
          <w:rFonts w:ascii="Arial" w:eastAsia="Arial" w:hAnsi="Arial" w:cs="Arial"/>
          <w:i/>
        </w:rPr>
        <w:t>as establecido en ese precepto se aplica en cualquier materia y procedimiento</w:t>
      </w:r>
      <w:r>
        <w:rPr>
          <w:rFonts w:ascii="Arial" w:eastAsia="Arial" w:hAnsi="Arial" w:cs="Arial"/>
        </w:rPr>
        <w:t>” (cfr. “</w:t>
      </w:r>
      <w:r>
        <w:rPr>
          <w:rFonts w:ascii="Arial" w:eastAsia="Arial" w:hAnsi="Arial" w:cs="Arial"/>
          <w:highlight w:val="white"/>
        </w:rPr>
        <w:t>Caso del Tribunal Constitucional vs. Perú”, sentencia del 31 de enero de 2001, núm. 70. 9).</w:t>
      </w:r>
    </w:p>
    <w:p w:rsidR="00090198" w:rsidRDefault="00160032">
      <w:pPr>
        <w:pStyle w:val="normal0"/>
        <w:spacing w:line="360" w:lineRule="auto"/>
        <w:ind w:firstLine="2690"/>
        <w:jc w:val="both"/>
      </w:pPr>
      <w:r>
        <w:rPr>
          <w:rFonts w:ascii="Arial" w:eastAsia="Arial" w:hAnsi="Arial" w:cs="Arial"/>
        </w:rPr>
        <w:t>Una lectura desprevenida del artículo 8º de la Convención podría conducir a do</w:t>
      </w:r>
      <w:r>
        <w:rPr>
          <w:rFonts w:ascii="Arial" w:eastAsia="Arial" w:hAnsi="Arial" w:cs="Arial"/>
        </w:rPr>
        <w:t>s conclusiones respecto de su ámbito material y personal de aplicación que, bueno es aclararlo desde el principio, son incorrectas. El primer error consistiría en hacer una distinción rígida entre los procedimientos judiciales de naturaleza penal y el rest</w:t>
      </w:r>
      <w:r>
        <w:rPr>
          <w:rFonts w:ascii="Arial" w:eastAsia="Arial" w:hAnsi="Arial" w:cs="Arial"/>
        </w:rPr>
        <w:t xml:space="preserve">o. El segundo, en considerar que la garantía del debido proceso legal sólo debe ser respetada por un juez o tribunal, con exclusión de los otros órganos del Estado. </w:t>
      </w:r>
    </w:p>
    <w:p w:rsidR="00090198" w:rsidRDefault="00160032">
      <w:pPr>
        <w:pStyle w:val="normal0"/>
        <w:spacing w:line="360" w:lineRule="auto"/>
        <w:ind w:firstLine="2690"/>
        <w:jc w:val="both"/>
      </w:pPr>
      <w:r>
        <w:rPr>
          <w:rFonts w:ascii="Arial" w:eastAsia="Arial" w:hAnsi="Arial" w:cs="Arial"/>
        </w:rPr>
        <w:t>Para nosotros, todo el elenco de garantías procesales establecidos en el artículo 8º de la</w:t>
      </w:r>
      <w:r>
        <w:rPr>
          <w:rFonts w:ascii="Arial" w:eastAsia="Arial" w:hAnsi="Arial" w:cs="Arial"/>
        </w:rPr>
        <w:t xml:space="preserve"> Convención es aplicable a la determinación de los derechos y obligaciones de cualquier carácter, tal como lo ha confirmado en forma constante y reiterada la jurisprudencia de la Corte IDH (</w:t>
      </w:r>
      <w:r>
        <w:rPr>
          <w:rFonts w:ascii="Arial" w:eastAsia="Arial" w:hAnsi="Arial" w:cs="Arial"/>
          <w:highlight w:val="white"/>
        </w:rPr>
        <w:t>Corte IDH, Opinión Consultiva OC-11/90, supra nota 2, párr. 28; Ca</w:t>
      </w:r>
      <w:r>
        <w:rPr>
          <w:rFonts w:ascii="Arial" w:eastAsia="Arial" w:hAnsi="Arial" w:cs="Arial"/>
          <w:highlight w:val="white"/>
        </w:rPr>
        <w:t xml:space="preserve">so de la "Panel Blanca" Paniagua Morales y otros vs. Guatemala, Sentencia de 8 de marzo de 1998, Serie C Nº 37, párr. 149; Caso del Tribunal Constitucional Vs. Perú, Sentencia de 31 de enero de 2001, Serie C Nº 71, párr. 70; Caso Baena Ricardo y otros Vs. </w:t>
      </w:r>
      <w:r>
        <w:rPr>
          <w:rFonts w:ascii="Arial" w:eastAsia="Arial" w:hAnsi="Arial" w:cs="Arial"/>
          <w:highlight w:val="white"/>
        </w:rPr>
        <w:t xml:space="preserve">Panamá, Sentencia de 2 de febrero de 2001, Serie C Nº 72, párr. 125; Caso </w:t>
      </w:r>
      <w:proofErr w:type="spellStart"/>
      <w:r>
        <w:rPr>
          <w:rFonts w:ascii="Arial" w:eastAsia="Arial" w:hAnsi="Arial" w:cs="Arial"/>
          <w:highlight w:val="white"/>
        </w:rPr>
        <w:t>Ivcher</w:t>
      </w:r>
      <w:proofErr w:type="spellEnd"/>
      <w:r>
        <w:rPr>
          <w:rFonts w:ascii="Arial" w:eastAsia="Arial" w:hAnsi="Arial" w:cs="Arial"/>
          <w:highlight w:val="white"/>
        </w:rPr>
        <w:t xml:space="preserve"> </w:t>
      </w:r>
      <w:proofErr w:type="spellStart"/>
      <w:r>
        <w:rPr>
          <w:rFonts w:ascii="Arial" w:eastAsia="Arial" w:hAnsi="Arial" w:cs="Arial"/>
          <w:highlight w:val="white"/>
        </w:rPr>
        <w:t>Bronstein</w:t>
      </w:r>
      <w:proofErr w:type="spellEnd"/>
      <w:r>
        <w:rPr>
          <w:rFonts w:ascii="Arial" w:eastAsia="Arial" w:hAnsi="Arial" w:cs="Arial"/>
          <w:highlight w:val="white"/>
        </w:rPr>
        <w:t xml:space="preserve"> Vs. Perú, Sentencia de 6 de febrero de 2001, Serie C Nº 74, párr. 103; Caso </w:t>
      </w:r>
      <w:proofErr w:type="spellStart"/>
      <w:r>
        <w:rPr>
          <w:rFonts w:ascii="Arial" w:eastAsia="Arial" w:hAnsi="Arial" w:cs="Arial"/>
          <w:highlight w:val="white"/>
        </w:rPr>
        <w:t>Yatama</w:t>
      </w:r>
      <w:proofErr w:type="spellEnd"/>
      <w:r>
        <w:rPr>
          <w:rFonts w:ascii="Arial" w:eastAsia="Arial" w:hAnsi="Arial" w:cs="Arial"/>
          <w:highlight w:val="white"/>
        </w:rPr>
        <w:t xml:space="preserve"> Vs. Nicaragua, supra nota 8, párr. 149</w:t>
      </w:r>
      <w:r>
        <w:rPr>
          <w:rFonts w:ascii="Arial" w:eastAsia="Arial" w:hAnsi="Arial" w:cs="Arial"/>
        </w:rPr>
        <w:t>).</w:t>
      </w:r>
    </w:p>
    <w:p w:rsidR="00090198" w:rsidRDefault="00160032">
      <w:pPr>
        <w:pStyle w:val="normal0"/>
        <w:spacing w:line="360" w:lineRule="auto"/>
        <w:ind w:firstLine="2690"/>
        <w:jc w:val="both"/>
      </w:pPr>
      <w:r>
        <w:rPr>
          <w:rFonts w:ascii="Arial" w:eastAsia="Arial" w:hAnsi="Arial" w:cs="Arial"/>
        </w:rPr>
        <w:t>En relación con la segunda cuestión, la C</w:t>
      </w:r>
      <w:r>
        <w:rPr>
          <w:rFonts w:ascii="Arial" w:eastAsia="Arial" w:hAnsi="Arial" w:cs="Arial"/>
        </w:rPr>
        <w:t>orte IDH ha establecido con claridad que cuando la Convención se refiere al derecho de toda persona a ser oída por un “juez o tribunal competente” para la “determinación de sus derechos”, esta expresión se refiere a cualquier autoridad pública, sea adminis</w:t>
      </w:r>
      <w:r>
        <w:rPr>
          <w:rFonts w:ascii="Arial" w:eastAsia="Arial" w:hAnsi="Arial" w:cs="Arial"/>
        </w:rPr>
        <w:t>trativa, legislativa o judicial, que a través de sus resoluciones determine derechos y obligaciones de las personas (</w:t>
      </w:r>
      <w:r>
        <w:rPr>
          <w:rFonts w:ascii="Arial" w:eastAsia="Arial" w:hAnsi="Arial" w:cs="Arial"/>
          <w:highlight w:val="white"/>
        </w:rPr>
        <w:t xml:space="preserve">Corte IDH, “Caso del Tribunal Constitucional vs. Perú”, </w:t>
      </w:r>
      <w:r>
        <w:rPr>
          <w:rFonts w:ascii="Arial" w:eastAsia="Arial" w:hAnsi="Arial" w:cs="Arial"/>
          <w:highlight w:val="white"/>
        </w:rPr>
        <w:lastRenderedPageBreak/>
        <w:t>supra nota 13, párr. 71</w:t>
      </w:r>
      <w:r>
        <w:rPr>
          <w:rFonts w:ascii="Arial" w:eastAsia="Arial" w:hAnsi="Arial" w:cs="Arial"/>
        </w:rPr>
        <w:t>). Los tres órganos del Estado tienen que respetar esta gara</w:t>
      </w:r>
      <w:r>
        <w:rPr>
          <w:rFonts w:ascii="Arial" w:eastAsia="Arial" w:hAnsi="Arial" w:cs="Arial"/>
        </w:rPr>
        <w:t>ntía en el ejercicio de sus funciones; porque así lo ha señalado recientemente la Corte IDH en el “C</w:t>
      </w:r>
      <w:r>
        <w:rPr>
          <w:rFonts w:ascii="Arial" w:eastAsia="Arial" w:hAnsi="Arial" w:cs="Arial"/>
          <w:highlight w:val="white"/>
        </w:rPr>
        <w:t>aso Claude Reyes y otros vs. Chile”, sentencia de 19 de septiembre de 2006</w:t>
      </w:r>
      <w:r>
        <w:rPr>
          <w:rFonts w:ascii="Arial" w:eastAsia="Arial" w:hAnsi="Arial" w:cs="Arial"/>
        </w:rPr>
        <w:t>.</w:t>
      </w:r>
    </w:p>
    <w:p w:rsidR="00090198" w:rsidRDefault="00160032">
      <w:pPr>
        <w:pStyle w:val="normal0"/>
        <w:spacing w:line="360" w:lineRule="auto"/>
        <w:ind w:firstLine="2690"/>
        <w:jc w:val="both"/>
      </w:pPr>
      <w:r>
        <w:rPr>
          <w:rFonts w:ascii="Arial" w:eastAsia="Arial" w:hAnsi="Arial" w:cs="Arial"/>
        </w:rPr>
        <w:t>Ahora bien, establecido que el debido proceso legal debe ser respetado por todos</w:t>
      </w:r>
      <w:r>
        <w:rPr>
          <w:rFonts w:ascii="Arial" w:eastAsia="Arial" w:hAnsi="Arial" w:cs="Arial"/>
        </w:rPr>
        <w:t xml:space="preserve"> los órganos del Estado en el ejercicio de las diversas funciones estatales, por imperio del artículo 8º de la Convención que se aplican directamente a esta cuestión, creemos necesario hacer, en forma previa, algunas referencias generales sobre las caracte</w:t>
      </w:r>
      <w:r>
        <w:rPr>
          <w:rFonts w:ascii="Arial" w:eastAsia="Arial" w:hAnsi="Arial" w:cs="Arial"/>
        </w:rPr>
        <w:t>rísticas más salientes de la garantía en cuestión y del principio de inocencia, ya que serán de utilidad para explicar la decisión hemos adoptado.</w:t>
      </w:r>
    </w:p>
    <w:p w:rsidR="00090198" w:rsidRDefault="00160032">
      <w:pPr>
        <w:pStyle w:val="normal0"/>
        <w:spacing w:line="360" w:lineRule="auto"/>
        <w:ind w:firstLine="2690"/>
        <w:jc w:val="both"/>
      </w:pPr>
      <w:r>
        <w:rPr>
          <w:rFonts w:ascii="Arial" w:eastAsia="Arial" w:hAnsi="Arial" w:cs="Arial"/>
          <w:highlight w:val="white"/>
        </w:rPr>
        <w:t>La jurisprudencia de nuestra Corte avanza saludablemente hacia un mayor y más estricto control del debido pro</w:t>
      </w:r>
      <w:r>
        <w:rPr>
          <w:rFonts w:ascii="Arial" w:eastAsia="Arial" w:hAnsi="Arial" w:cs="Arial"/>
          <w:highlight w:val="white"/>
        </w:rPr>
        <w:t xml:space="preserve">ceso legal en el ejercicio de las funciones del Congreso, pudiéndose citar como ejemplos recientes el caso "Nobleza </w:t>
      </w:r>
      <w:proofErr w:type="spellStart"/>
      <w:r>
        <w:rPr>
          <w:rFonts w:ascii="Arial" w:eastAsia="Arial" w:hAnsi="Arial" w:cs="Arial"/>
          <w:highlight w:val="white"/>
        </w:rPr>
        <w:t>Piccardo</w:t>
      </w:r>
      <w:proofErr w:type="spellEnd"/>
      <w:r>
        <w:rPr>
          <w:rFonts w:ascii="Arial" w:eastAsia="Arial" w:hAnsi="Arial" w:cs="Arial"/>
          <w:highlight w:val="white"/>
        </w:rPr>
        <w:t>", (Fallos 321:3487); el caso “</w:t>
      </w:r>
      <w:proofErr w:type="spellStart"/>
      <w:r>
        <w:rPr>
          <w:rFonts w:ascii="Arial" w:eastAsia="Arial" w:hAnsi="Arial" w:cs="Arial"/>
          <w:highlight w:val="white"/>
        </w:rPr>
        <w:t>Binotti</w:t>
      </w:r>
      <w:proofErr w:type="spellEnd"/>
      <w:r>
        <w:rPr>
          <w:rFonts w:ascii="Arial" w:eastAsia="Arial" w:hAnsi="Arial" w:cs="Arial"/>
          <w:highlight w:val="white"/>
        </w:rPr>
        <w:t>” (Fallos 330:2222) y el caso “</w:t>
      </w:r>
      <w:proofErr w:type="spellStart"/>
      <w:r>
        <w:rPr>
          <w:rFonts w:ascii="Arial" w:eastAsia="Arial" w:hAnsi="Arial" w:cs="Arial"/>
          <w:highlight w:val="white"/>
        </w:rPr>
        <w:t>Bussi</w:t>
      </w:r>
      <w:proofErr w:type="spellEnd"/>
      <w:r>
        <w:rPr>
          <w:rFonts w:ascii="Arial" w:eastAsia="Arial" w:hAnsi="Arial" w:cs="Arial"/>
          <w:highlight w:val="white"/>
        </w:rPr>
        <w:t xml:space="preserve">” (Fallos 330:3160) entre otros. Es decir que aún con las </w:t>
      </w:r>
      <w:r>
        <w:rPr>
          <w:rFonts w:ascii="Arial" w:eastAsia="Arial" w:hAnsi="Arial" w:cs="Arial"/>
          <w:highlight w:val="white"/>
        </w:rPr>
        <w:t xml:space="preserve">limitaciones propias de su ámbito de aplicación, las garantías del debido proceso, se han ido exigiendo cada vez con mayor rigor al ejercicio de la labor legislativa, lo que sin dudas colabora a fortalecer las instituciones democráticas. </w:t>
      </w:r>
    </w:p>
    <w:p w:rsidR="00090198" w:rsidRDefault="00160032">
      <w:pPr>
        <w:pStyle w:val="normal0"/>
        <w:spacing w:line="360" w:lineRule="auto"/>
        <w:ind w:firstLine="2690"/>
        <w:jc w:val="both"/>
      </w:pPr>
      <w:r>
        <w:rPr>
          <w:rFonts w:ascii="Arial" w:eastAsia="Arial" w:hAnsi="Arial" w:cs="Arial"/>
          <w:highlight w:val="white"/>
        </w:rPr>
        <w:t>Por tal motivo, s</w:t>
      </w:r>
      <w:r>
        <w:rPr>
          <w:rFonts w:ascii="Arial" w:eastAsia="Arial" w:hAnsi="Arial" w:cs="Arial"/>
          <w:highlight w:val="white"/>
        </w:rPr>
        <w:t>iendo conveniente promover la extensión de su ámbito de aplicación, debemos llevarla a comprender la presente cuestión y particularmente, dado lo acontecido, creemos que era -incluso- necesaria en la audiencia pública previa a la sanción de esta norma legi</w:t>
      </w:r>
      <w:r>
        <w:rPr>
          <w:rFonts w:ascii="Arial" w:eastAsia="Arial" w:hAnsi="Arial" w:cs="Arial"/>
          <w:highlight w:val="white"/>
        </w:rPr>
        <w:t>slativa.</w:t>
      </w:r>
    </w:p>
    <w:p w:rsidR="00090198" w:rsidRDefault="00160032">
      <w:pPr>
        <w:pStyle w:val="normal0"/>
        <w:spacing w:line="360" w:lineRule="auto"/>
        <w:ind w:firstLine="2690"/>
        <w:jc w:val="both"/>
      </w:pPr>
      <w:r>
        <w:rPr>
          <w:rFonts w:ascii="Arial" w:eastAsia="Arial" w:hAnsi="Arial" w:cs="Arial"/>
        </w:rPr>
        <w:t>Habiendo examinado el ámbito material de aplicación del debido proceso, y habiendo determinado qué órganos del Estado están obligados a respetarlo, nos resta mencionar brevemente quiénes tienen, derecho al debido proceso legal y al principio de in</w:t>
      </w:r>
      <w:r>
        <w:rPr>
          <w:rFonts w:ascii="Arial" w:eastAsia="Arial" w:hAnsi="Arial" w:cs="Arial"/>
        </w:rPr>
        <w:t>ocencia; en qué etapas del proceso es aplicable; y, por último, su ámbito temporal de aplicación.</w:t>
      </w:r>
    </w:p>
    <w:p w:rsidR="00090198" w:rsidRDefault="00160032">
      <w:pPr>
        <w:pStyle w:val="normal0"/>
        <w:spacing w:line="360" w:lineRule="auto"/>
        <w:ind w:firstLine="2690"/>
        <w:jc w:val="both"/>
      </w:pPr>
      <w:r>
        <w:rPr>
          <w:rFonts w:ascii="Arial" w:eastAsia="Arial" w:hAnsi="Arial" w:cs="Arial"/>
        </w:rPr>
        <w:lastRenderedPageBreak/>
        <w:t>Primero: Todas las personas, sin discriminación alguna, tienen el derecho humano a que se respete el debido proceso legal y especialmente el principio de inoc</w:t>
      </w:r>
      <w:r>
        <w:rPr>
          <w:rFonts w:ascii="Arial" w:eastAsia="Arial" w:hAnsi="Arial" w:cs="Arial"/>
        </w:rPr>
        <w:t>encia, en la determinación de sus derechos y obligaciones (</w:t>
      </w:r>
      <w:r>
        <w:rPr>
          <w:rFonts w:ascii="Arial" w:eastAsia="Arial" w:hAnsi="Arial" w:cs="Arial"/>
          <w:highlight w:val="white"/>
        </w:rPr>
        <w:t>Corte IDH, Condición Jurídica y Derechos de los Migrantes Indocumentados, Opinión Consultiva OC-18/03 del 17 de septiembre de 2003, Serie A Nº 18, punto resolutivo N° 7</w:t>
      </w:r>
      <w:r>
        <w:rPr>
          <w:rFonts w:ascii="Arial" w:eastAsia="Arial" w:hAnsi="Arial" w:cs="Arial"/>
        </w:rPr>
        <w:t xml:space="preserve">). </w:t>
      </w:r>
    </w:p>
    <w:p w:rsidR="00090198" w:rsidRDefault="00160032">
      <w:pPr>
        <w:pStyle w:val="normal0"/>
        <w:spacing w:line="360" w:lineRule="auto"/>
        <w:ind w:firstLine="2690"/>
        <w:jc w:val="both"/>
      </w:pPr>
      <w:r>
        <w:rPr>
          <w:rFonts w:ascii="Arial" w:eastAsia="Arial" w:hAnsi="Arial" w:cs="Arial"/>
        </w:rPr>
        <w:t>Segundo: Las garantías pr</w:t>
      </w:r>
      <w:r>
        <w:rPr>
          <w:rFonts w:ascii="Arial" w:eastAsia="Arial" w:hAnsi="Arial" w:cs="Arial"/>
        </w:rPr>
        <w:t>ocesales del debido proceso legal y el principio de inocencia se aplican a todos los tipos de proceso, y a todas sus etapas (</w:t>
      </w:r>
      <w:r>
        <w:rPr>
          <w:rFonts w:ascii="Arial" w:eastAsia="Arial" w:hAnsi="Arial" w:cs="Arial"/>
          <w:highlight w:val="white"/>
        </w:rPr>
        <w:t xml:space="preserve">Corte IDH, Caso Loayza Tamayo Vs. Perú, Sentencia de 17 de septiembre de 1997, Serie C Nº 33; Caso </w:t>
      </w:r>
      <w:proofErr w:type="spellStart"/>
      <w:r>
        <w:rPr>
          <w:rFonts w:ascii="Arial" w:eastAsia="Arial" w:hAnsi="Arial" w:cs="Arial"/>
          <w:highlight w:val="white"/>
        </w:rPr>
        <w:t>Maritza</w:t>
      </w:r>
      <w:proofErr w:type="spellEnd"/>
      <w:r>
        <w:rPr>
          <w:rFonts w:ascii="Arial" w:eastAsia="Arial" w:hAnsi="Arial" w:cs="Arial"/>
          <w:highlight w:val="white"/>
        </w:rPr>
        <w:t xml:space="preserve"> Urrutia Vs. Guatemala, S</w:t>
      </w:r>
      <w:r>
        <w:rPr>
          <w:rFonts w:ascii="Arial" w:eastAsia="Arial" w:hAnsi="Arial" w:cs="Arial"/>
          <w:highlight w:val="white"/>
        </w:rPr>
        <w:t>entencia de 27 de noviembre de 2003, Serie C Nº 103, párr. 120</w:t>
      </w:r>
      <w:r>
        <w:rPr>
          <w:rFonts w:ascii="Arial" w:eastAsia="Arial" w:hAnsi="Arial" w:cs="Arial"/>
        </w:rPr>
        <w:t>).</w:t>
      </w:r>
    </w:p>
    <w:p w:rsidR="00090198" w:rsidRDefault="00160032">
      <w:pPr>
        <w:pStyle w:val="normal0"/>
        <w:spacing w:line="360" w:lineRule="auto"/>
        <w:ind w:firstLine="2690"/>
        <w:jc w:val="both"/>
      </w:pPr>
      <w:r>
        <w:rPr>
          <w:rFonts w:ascii="Arial" w:eastAsia="Arial" w:hAnsi="Arial" w:cs="Arial"/>
        </w:rPr>
        <w:t>Necesariamente, en la presente cuestión -sin abrir ningún juicio sobre los hechos a los que se hizo mención por la oposición, dado que no le corresponde realizarlo a la Cámara de Senadores en el marco de este proceso-, debe efectuarse una distinción dado q</w:t>
      </w:r>
      <w:r>
        <w:rPr>
          <w:rFonts w:ascii="Arial" w:eastAsia="Arial" w:hAnsi="Arial" w:cs="Arial"/>
        </w:rPr>
        <w:t xml:space="preserve">ue la situación del </w:t>
      </w:r>
      <w:proofErr w:type="spellStart"/>
      <w:r>
        <w:rPr>
          <w:rFonts w:ascii="Arial" w:eastAsia="Arial" w:hAnsi="Arial" w:cs="Arial"/>
        </w:rPr>
        <w:t>prof.</w:t>
      </w:r>
      <w:proofErr w:type="spellEnd"/>
      <w:r>
        <w:rPr>
          <w:rFonts w:ascii="Arial" w:eastAsia="Arial" w:hAnsi="Arial" w:cs="Arial"/>
        </w:rPr>
        <w:t xml:space="preserve"> PANOZZO no es asimilable a la de quien tiene sobre sus espaldas una condena penal firme. Por el contrario sólo existiría a su respecto una sospecha sobre la posible y no probada comisión de hechos que </w:t>
      </w:r>
      <w:r>
        <w:rPr>
          <w:rFonts w:ascii="Arial" w:eastAsia="Arial" w:hAnsi="Arial" w:cs="Arial"/>
          <w:i/>
        </w:rPr>
        <w:t xml:space="preserve">prima </w:t>
      </w:r>
      <w:proofErr w:type="spellStart"/>
      <w:r>
        <w:rPr>
          <w:rFonts w:ascii="Arial" w:eastAsia="Arial" w:hAnsi="Arial" w:cs="Arial"/>
          <w:i/>
        </w:rPr>
        <w:t>facie</w:t>
      </w:r>
      <w:proofErr w:type="spellEnd"/>
      <w:r>
        <w:rPr>
          <w:rFonts w:ascii="Arial" w:eastAsia="Arial" w:hAnsi="Arial" w:cs="Arial"/>
          <w:i/>
        </w:rPr>
        <w:t xml:space="preserve"> </w:t>
      </w:r>
      <w:r>
        <w:rPr>
          <w:rFonts w:ascii="Arial" w:eastAsia="Arial" w:hAnsi="Arial" w:cs="Arial"/>
        </w:rPr>
        <w:t>fueran calificado</w:t>
      </w:r>
      <w:r>
        <w:rPr>
          <w:rFonts w:ascii="Arial" w:eastAsia="Arial" w:hAnsi="Arial" w:cs="Arial"/>
        </w:rPr>
        <w:t xml:space="preserve">s como ilícitos pero que siquiera ha pasado de tramitar la etapa </w:t>
      </w:r>
      <w:proofErr w:type="spellStart"/>
      <w:r>
        <w:rPr>
          <w:rFonts w:ascii="Arial" w:eastAsia="Arial" w:hAnsi="Arial" w:cs="Arial"/>
        </w:rPr>
        <w:t>instructoria</w:t>
      </w:r>
      <w:proofErr w:type="spellEnd"/>
      <w:r>
        <w:rPr>
          <w:rFonts w:ascii="Arial" w:eastAsia="Arial" w:hAnsi="Arial" w:cs="Arial"/>
        </w:rPr>
        <w:t xml:space="preserve">. </w:t>
      </w:r>
    </w:p>
    <w:p w:rsidR="00090198" w:rsidRDefault="00160032">
      <w:pPr>
        <w:pStyle w:val="normal0"/>
        <w:spacing w:line="360" w:lineRule="auto"/>
        <w:ind w:firstLine="2690"/>
        <w:jc w:val="both"/>
      </w:pPr>
      <w:r>
        <w:rPr>
          <w:rFonts w:ascii="Arial" w:eastAsia="Arial" w:hAnsi="Arial" w:cs="Arial"/>
        </w:rPr>
        <w:t>De tal suerte, en razón de lo dicho hasta aquí, no podemos dejar de advertir que es imprescindible, legal y necesaria la aplicación de las garantías constitucionales analizadas</w:t>
      </w:r>
      <w:r>
        <w:rPr>
          <w:rFonts w:ascii="Arial" w:eastAsia="Arial" w:hAnsi="Arial" w:cs="Arial"/>
        </w:rPr>
        <w:t xml:space="preserve"> y particularmente la presunción de inocencia de la que goza como cualquier otro ciudadano. </w:t>
      </w:r>
    </w:p>
    <w:p w:rsidR="00090198" w:rsidRDefault="00160032">
      <w:pPr>
        <w:pStyle w:val="normal0"/>
        <w:spacing w:line="360" w:lineRule="auto"/>
        <w:ind w:firstLine="2690"/>
        <w:jc w:val="both"/>
      </w:pPr>
      <w:r>
        <w:rPr>
          <w:rFonts w:ascii="Arial" w:eastAsia="Arial" w:hAnsi="Arial" w:cs="Arial"/>
        </w:rPr>
        <w:t>Ello es así desde que los parámetros de evaluación de la ética pública y de la idoneidad no pueden, so peligro de convertirse en arbitrarios, prescindir de los derechos y garantías fundamentales analizados, ya que corresponden a todo ser humano por su cond</w:t>
      </w:r>
      <w:r>
        <w:rPr>
          <w:rFonts w:ascii="Arial" w:eastAsia="Arial" w:hAnsi="Arial" w:cs="Arial"/>
        </w:rPr>
        <w:t>ición de tal -aún cuando fuere aspirante o propuesto para un cargo público-.</w:t>
      </w:r>
    </w:p>
    <w:p w:rsidR="00090198" w:rsidRDefault="00160032">
      <w:pPr>
        <w:pStyle w:val="normal0"/>
        <w:spacing w:line="360" w:lineRule="auto"/>
        <w:ind w:firstLine="2690"/>
        <w:jc w:val="both"/>
      </w:pPr>
      <w:r>
        <w:rPr>
          <w:rFonts w:ascii="Arial" w:eastAsia="Arial" w:hAnsi="Arial" w:cs="Arial"/>
        </w:rPr>
        <w:lastRenderedPageBreak/>
        <w:t>Es la misma Convención Americana sobre Derechos Humanos la que protege la limitación arbitraria de los derechos políticos, resguardando la presunción de inocencia; específicamente</w:t>
      </w:r>
      <w:r>
        <w:rPr>
          <w:rFonts w:ascii="Arial" w:eastAsia="Arial" w:hAnsi="Arial" w:cs="Arial"/>
        </w:rPr>
        <w:t xml:space="preserve"> en su artículo 11 señala que: “</w:t>
      </w:r>
      <w:r>
        <w:rPr>
          <w:rFonts w:ascii="Arial" w:eastAsia="Arial" w:hAnsi="Arial" w:cs="Arial"/>
          <w:i/>
        </w:rPr>
        <w:t>Toda persona tiene derecho al respeto de su honra y al reconocimiento de su dignidad</w:t>
      </w:r>
      <w:r>
        <w:rPr>
          <w:rFonts w:ascii="Arial" w:eastAsia="Arial" w:hAnsi="Arial" w:cs="Arial"/>
        </w:rPr>
        <w:t>”.</w:t>
      </w:r>
    </w:p>
    <w:p w:rsidR="00090198" w:rsidRDefault="00160032">
      <w:pPr>
        <w:pStyle w:val="normal0"/>
        <w:spacing w:line="360" w:lineRule="auto"/>
        <w:ind w:firstLine="2690"/>
        <w:jc w:val="both"/>
      </w:pPr>
      <w:r>
        <w:rPr>
          <w:rFonts w:ascii="Arial" w:eastAsia="Arial" w:hAnsi="Arial" w:cs="Arial"/>
        </w:rPr>
        <w:t>Esa norma también tiene rango constitucional, tiene como efecto directo el de producir un condicionamiento al poder público y se interrel</w:t>
      </w:r>
      <w:r>
        <w:rPr>
          <w:rFonts w:ascii="Arial" w:eastAsia="Arial" w:hAnsi="Arial" w:cs="Arial"/>
        </w:rPr>
        <w:t>aciona con el resto de los derechos fundamentales, quedando entonces alcanzado por el principio constitucional que establece que no hay reglas ni normas absolutas. Es así entonces que la potestad de evaluar la idoneidad está condicionada al principio de ej</w:t>
      </w:r>
      <w:r>
        <w:rPr>
          <w:rFonts w:ascii="Arial" w:eastAsia="Arial" w:hAnsi="Arial" w:cs="Arial"/>
        </w:rPr>
        <w:t>ercicio relativo y su correcta aplicación exige advertir las distinciones que fueran procedentes para garantizar la plena vigencia de la Constitución y la democracia.</w:t>
      </w:r>
    </w:p>
    <w:p w:rsidR="00090198" w:rsidRDefault="00160032">
      <w:pPr>
        <w:pStyle w:val="normal0"/>
        <w:spacing w:line="360" w:lineRule="auto"/>
        <w:ind w:firstLine="2690"/>
        <w:jc w:val="both"/>
      </w:pPr>
      <w:r>
        <w:rPr>
          <w:rFonts w:ascii="Arial" w:eastAsia="Arial" w:hAnsi="Arial" w:cs="Arial"/>
        </w:rPr>
        <w:t xml:space="preserve">Más aún, esa evaluación requiere necesariamente de la “imparcialidad”, lo que supone que </w:t>
      </w:r>
      <w:r>
        <w:rPr>
          <w:rFonts w:ascii="Arial" w:eastAsia="Arial" w:hAnsi="Arial" w:cs="Arial"/>
        </w:rPr>
        <w:t xml:space="preserve">las personas integrantes de los órganos estatales con competencia para adoptar decisiones públicas, en el caso el Senado, no tengan prejuicios o intereses personales de ningún tipo que puedan afectar la rectitud de su pronunciamiento.  </w:t>
      </w:r>
    </w:p>
    <w:p w:rsidR="00090198" w:rsidRDefault="00160032">
      <w:pPr>
        <w:pStyle w:val="normal0"/>
        <w:spacing w:line="360" w:lineRule="auto"/>
        <w:ind w:firstLine="2690"/>
        <w:jc w:val="both"/>
      </w:pPr>
      <w:r>
        <w:rPr>
          <w:rFonts w:ascii="Arial" w:eastAsia="Arial" w:hAnsi="Arial" w:cs="Arial"/>
        </w:rPr>
        <w:t xml:space="preserve">Y como el resto de </w:t>
      </w:r>
      <w:r>
        <w:rPr>
          <w:rFonts w:ascii="Arial" w:eastAsia="Arial" w:hAnsi="Arial" w:cs="Arial"/>
        </w:rPr>
        <w:t>las garantías, la de imparcialidad, es exigible no sólo en un proceso judicial sino también en los procesos de las cámaras legislativas, en este asunto particular, porque como ha dicho un enjundioso doctrinario es un presupuesto indispensable para conceder</w:t>
      </w:r>
      <w:r>
        <w:rPr>
          <w:rFonts w:ascii="Arial" w:eastAsia="Arial" w:hAnsi="Arial" w:cs="Arial"/>
        </w:rPr>
        <w:t xml:space="preserve">le un valor epistémico a la democracia deliberativa (cfr. </w:t>
      </w:r>
      <w:r>
        <w:rPr>
          <w:rFonts w:ascii="Arial" w:eastAsia="Arial" w:hAnsi="Arial" w:cs="Arial"/>
          <w:highlight w:val="white"/>
        </w:rPr>
        <w:t xml:space="preserve">NINO, Carlos Santiago, La constitución de la democracia deliberativa, supra nota 35, </w:t>
      </w:r>
      <w:proofErr w:type="spellStart"/>
      <w:r>
        <w:rPr>
          <w:rFonts w:ascii="Arial" w:eastAsia="Arial" w:hAnsi="Arial" w:cs="Arial"/>
          <w:highlight w:val="white"/>
        </w:rPr>
        <w:t>ps</w:t>
      </w:r>
      <w:proofErr w:type="spellEnd"/>
      <w:r>
        <w:rPr>
          <w:rFonts w:ascii="Arial" w:eastAsia="Arial" w:hAnsi="Arial" w:cs="Arial"/>
          <w:highlight w:val="white"/>
        </w:rPr>
        <w:t>. 166-187</w:t>
      </w:r>
      <w:r>
        <w:rPr>
          <w:rFonts w:ascii="Arial" w:eastAsia="Arial" w:hAnsi="Arial" w:cs="Arial"/>
        </w:rPr>
        <w:t>).</w:t>
      </w:r>
    </w:p>
    <w:p w:rsidR="00090198" w:rsidRDefault="00160032">
      <w:pPr>
        <w:pStyle w:val="normal0"/>
        <w:spacing w:line="360" w:lineRule="auto"/>
        <w:ind w:firstLine="2690"/>
        <w:jc w:val="both"/>
      </w:pPr>
      <w:r>
        <w:rPr>
          <w:rFonts w:ascii="Arial" w:eastAsia="Arial" w:hAnsi="Arial" w:cs="Arial"/>
        </w:rPr>
        <w:t>El Máximo Tribunal Nacional, siguiendo la jurisprudencia de la Corte IDH, considera que la imparcia</w:t>
      </w:r>
      <w:r>
        <w:rPr>
          <w:rFonts w:ascii="Arial" w:eastAsia="Arial" w:hAnsi="Arial" w:cs="Arial"/>
        </w:rPr>
        <w:t>lidad tiene aspectos tanto subjetivos como objetivos y que, por lo tanto, la justicia no sólo debe ser hecha, sino que también debe verse que se hace (</w:t>
      </w:r>
      <w:r>
        <w:rPr>
          <w:rFonts w:ascii="Arial" w:eastAsia="Arial" w:hAnsi="Arial" w:cs="Arial"/>
          <w:highlight w:val="white"/>
        </w:rPr>
        <w:t>Fallos 329:3034 en el que la Corte citó el adagio "</w:t>
      </w:r>
      <w:proofErr w:type="spellStart"/>
      <w:r>
        <w:rPr>
          <w:rFonts w:ascii="Arial" w:eastAsia="Arial" w:hAnsi="Arial" w:cs="Arial"/>
          <w:highlight w:val="white"/>
        </w:rPr>
        <w:t>justice</w:t>
      </w:r>
      <w:proofErr w:type="spellEnd"/>
      <w:r>
        <w:rPr>
          <w:rFonts w:ascii="Arial" w:eastAsia="Arial" w:hAnsi="Arial" w:cs="Arial"/>
          <w:highlight w:val="white"/>
        </w:rPr>
        <w:t xml:space="preserve"> </w:t>
      </w:r>
      <w:proofErr w:type="spellStart"/>
      <w:r>
        <w:rPr>
          <w:rFonts w:ascii="Arial" w:eastAsia="Arial" w:hAnsi="Arial" w:cs="Arial"/>
          <w:highlight w:val="white"/>
        </w:rPr>
        <w:t>must</w:t>
      </w:r>
      <w:proofErr w:type="spellEnd"/>
      <w:r>
        <w:rPr>
          <w:rFonts w:ascii="Arial" w:eastAsia="Arial" w:hAnsi="Arial" w:cs="Arial"/>
          <w:highlight w:val="white"/>
        </w:rPr>
        <w:t xml:space="preserve"> </w:t>
      </w:r>
      <w:proofErr w:type="spellStart"/>
      <w:r>
        <w:rPr>
          <w:rFonts w:ascii="Arial" w:eastAsia="Arial" w:hAnsi="Arial" w:cs="Arial"/>
          <w:highlight w:val="white"/>
        </w:rPr>
        <w:t>not</w:t>
      </w:r>
      <w:proofErr w:type="spellEnd"/>
      <w:r>
        <w:rPr>
          <w:rFonts w:ascii="Arial" w:eastAsia="Arial" w:hAnsi="Arial" w:cs="Arial"/>
          <w:highlight w:val="white"/>
        </w:rPr>
        <w:t xml:space="preserve"> </w:t>
      </w:r>
      <w:proofErr w:type="spellStart"/>
      <w:r>
        <w:rPr>
          <w:rFonts w:ascii="Arial" w:eastAsia="Arial" w:hAnsi="Arial" w:cs="Arial"/>
          <w:highlight w:val="white"/>
        </w:rPr>
        <w:t>only</w:t>
      </w:r>
      <w:proofErr w:type="spellEnd"/>
      <w:r>
        <w:rPr>
          <w:rFonts w:ascii="Arial" w:eastAsia="Arial" w:hAnsi="Arial" w:cs="Arial"/>
          <w:highlight w:val="white"/>
        </w:rPr>
        <w:t xml:space="preserve"> </w:t>
      </w:r>
      <w:proofErr w:type="spellStart"/>
      <w:r>
        <w:rPr>
          <w:rFonts w:ascii="Arial" w:eastAsia="Arial" w:hAnsi="Arial" w:cs="Arial"/>
          <w:highlight w:val="white"/>
        </w:rPr>
        <w:t>be</w:t>
      </w:r>
      <w:proofErr w:type="spellEnd"/>
      <w:r>
        <w:rPr>
          <w:rFonts w:ascii="Arial" w:eastAsia="Arial" w:hAnsi="Arial" w:cs="Arial"/>
          <w:highlight w:val="white"/>
        </w:rPr>
        <w:t xml:space="preserve"> done: </w:t>
      </w:r>
      <w:proofErr w:type="spellStart"/>
      <w:r>
        <w:rPr>
          <w:rFonts w:ascii="Arial" w:eastAsia="Arial" w:hAnsi="Arial" w:cs="Arial"/>
          <w:highlight w:val="white"/>
        </w:rPr>
        <w:t>it</w:t>
      </w:r>
      <w:proofErr w:type="spellEnd"/>
      <w:r>
        <w:rPr>
          <w:rFonts w:ascii="Arial" w:eastAsia="Arial" w:hAnsi="Arial" w:cs="Arial"/>
          <w:highlight w:val="white"/>
        </w:rPr>
        <w:t xml:space="preserve"> </w:t>
      </w:r>
      <w:proofErr w:type="spellStart"/>
      <w:r>
        <w:rPr>
          <w:rFonts w:ascii="Arial" w:eastAsia="Arial" w:hAnsi="Arial" w:cs="Arial"/>
          <w:highlight w:val="white"/>
        </w:rPr>
        <w:t>must</w:t>
      </w:r>
      <w:proofErr w:type="spellEnd"/>
      <w:r>
        <w:rPr>
          <w:rFonts w:ascii="Arial" w:eastAsia="Arial" w:hAnsi="Arial" w:cs="Arial"/>
          <w:highlight w:val="white"/>
        </w:rPr>
        <w:t xml:space="preserve"> </w:t>
      </w:r>
      <w:proofErr w:type="spellStart"/>
      <w:r>
        <w:rPr>
          <w:rFonts w:ascii="Arial" w:eastAsia="Arial" w:hAnsi="Arial" w:cs="Arial"/>
          <w:highlight w:val="white"/>
        </w:rPr>
        <w:t>also</w:t>
      </w:r>
      <w:proofErr w:type="spellEnd"/>
      <w:r>
        <w:rPr>
          <w:rFonts w:ascii="Arial" w:eastAsia="Arial" w:hAnsi="Arial" w:cs="Arial"/>
          <w:highlight w:val="white"/>
        </w:rPr>
        <w:t xml:space="preserve"> </w:t>
      </w:r>
      <w:proofErr w:type="spellStart"/>
      <w:r>
        <w:rPr>
          <w:rFonts w:ascii="Arial" w:eastAsia="Arial" w:hAnsi="Arial" w:cs="Arial"/>
          <w:highlight w:val="white"/>
        </w:rPr>
        <w:t>be</w:t>
      </w:r>
      <w:proofErr w:type="spellEnd"/>
      <w:r>
        <w:rPr>
          <w:rFonts w:ascii="Arial" w:eastAsia="Arial" w:hAnsi="Arial" w:cs="Arial"/>
          <w:highlight w:val="white"/>
        </w:rPr>
        <w:t xml:space="preserve"> </w:t>
      </w:r>
      <w:proofErr w:type="spellStart"/>
      <w:r>
        <w:rPr>
          <w:rFonts w:ascii="Arial" w:eastAsia="Arial" w:hAnsi="Arial" w:cs="Arial"/>
          <w:highlight w:val="white"/>
        </w:rPr>
        <w:t>seen</w:t>
      </w:r>
      <w:proofErr w:type="spellEnd"/>
      <w:r>
        <w:rPr>
          <w:rFonts w:ascii="Arial" w:eastAsia="Arial" w:hAnsi="Arial" w:cs="Arial"/>
          <w:highlight w:val="white"/>
        </w:rPr>
        <w:t xml:space="preserve"> </w:t>
      </w:r>
      <w:proofErr w:type="spellStart"/>
      <w:r>
        <w:rPr>
          <w:rFonts w:ascii="Arial" w:eastAsia="Arial" w:hAnsi="Arial" w:cs="Arial"/>
          <w:highlight w:val="white"/>
        </w:rPr>
        <w:t>to</w:t>
      </w:r>
      <w:proofErr w:type="spellEnd"/>
      <w:r>
        <w:rPr>
          <w:rFonts w:ascii="Arial" w:eastAsia="Arial" w:hAnsi="Arial" w:cs="Arial"/>
          <w:highlight w:val="white"/>
        </w:rPr>
        <w:t xml:space="preserve"> </w:t>
      </w:r>
      <w:proofErr w:type="spellStart"/>
      <w:r>
        <w:rPr>
          <w:rFonts w:ascii="Arial" w:eastAsia="Arial" w:hAnsi="Arial" w:cs="Arial"/>
          <w:highlight w:val="white"/>
        </w:rPr>
        <w:t>be</w:t>
      </w:r>
      <w:proofErr w:type="spellEnd"/>
      <w:r>
        <w:rPr>
          <w:rFonts w:ascii="Arial" w:eastAsia="Arial" w:hAnsi="Arial" w:cs="Arial"/>
          <w:highlight w:val="white"/>
        </w:rPr>
        <w:t xml:space="preserve"> done")</w:t>
      </w:r>
      <w:r>
        <w:rPr>
          <w:rFonts w:ascii="Arial" w:eastAsia="Arial" w:hAnsi="Arial" w:cs="Arial"/>
        </w:rPr>
        <w:t xml:space="preserve">. </w:t>
      </w:r>
    </w:p>
    <w:p w:rsidR="00090198" w:rsidRDefault="00160032">
      <w:pPr>
        <w:pStyle w:val="normal0"/>
        <w:spacing w:line="360" w:lineRule="auto"/>
        <w:ind w:firstLine="2690"/>
        <w:jc w:val="both"/>
      </w:pPr>
      <w:r>
        <w:rPr>
          <w:rFonts w:ascii="Arial" w:eastAsia="Arial" w:hAnsi="Arial" w:cs="Arial"/>
        </w:rPr>
        <w:lastRenderedPageBreak/>
        <w:t>En nuestra opinión, el dictamen de la minoría -contrario al que aquí sustentamos-, violenta también la garantía constitucional de imparcialidad, toda vez que la valoración hecha por los Senadores de Cambiemos parte de prejuicios y está fuertem</w:t>
      </w:r>
      <w:r>
        <w:rPr>
          <w:rFonts w:ascii="Arial" w:eastAsia="Arial" w:hAnsi="Arial" w:cs="Arial"/>
        </w:rPr>
        <w:t xml:space="preserve">ente condicionada por intereses </w:t>
      </w:r>
      <w:proofErr w:type="spellStart"/>
      <w:r>
        <w:rPr>
          <w:rFonts w:ascii="Arial" w:eastAsia="Arial" w:hAnsi="Arial" w:cs="Arial"/>
        </w:rPr>
        <w:t>polìticos</w:t>
      </w:r>
      <w:proofErr w:type="spellEnd"/>
      <w:r>
        <w:rPr>
          <w:rFonts w:ascii="Arial" w:eastAsia="Arial" w:hAnsi="Arial" w:cs="Arial"/>
        </w:rPr>
        <w:t xml:space="preserve"> propios, en tanto y en cuanto así lo han manifestado y adelantado incluso antes de celebrarse la audiencia pública con el Prof. </w:t>
      </w:r>
      <w:proofErr w:type="spellStart"/>
      <w:r>
        <w:rPr>
          <w:rFonts w:ascii="Arial" w:eastAsia="Arial" w:hAnsi="Arial" w:cs="Arial"/>
        </w:rPr>
        <w:t>PANOZZo</w:t>
      </w:r>
      <w:proofErr w:type="spellEnd"/>
      <w:r>
        <w:rPr>
          <w:rFonts w:ascii="Arial" w:eastAsia="Arial" w:hAnsi="Arial" w:cs="Arial"/>
        </w:rPr>
        <w:t>.</w:t>
      </w:r>
    </w:p>
    <w:p w:rsidR="00090198" w:rsidRDefault="00160032">
      <w:pPr>
        <w:pStyle w:val="normal0"/>
        <w:spacing w:line="360" w:lineRule="auto"/>
        <w:ind w:firstLine="2690"/>
        <w:jc w:val="both"/>
      </w:pPr>
      <w:r>
        <w:rPr>
          <w:rFonts w:ascii="Arial" w:eastAsia="Arial" w:hAnsi="Arial" w:cs="Arial"/>
        </w:rPr>
        <w:t>Ahora bien, volviendo sobre la presunción de inocencia, nos queda aún precisa</w:t>
      </w:r>
      <w:r>
        <w:rPr>
          <w:rFonts w:ascii="Arial" w:eastAsia="Arial" w:hAnsi="Arial" w:cs="Arial"/>
        </w:rPr>
        <w:t>r que al igual que todo el elenco de garantías previsto en el artículo 8º de la Convención, está dirigida a todo tipo de proceso en que esté en discusión la determinación de los derechos y obligaciones de las personas, ya sean de orden civil, laboral, fisc</w:t>
      </w:r>
      <w:r>
        <w:rPr>
          <w:rFonts w:ascii="Arial" w:eastAsia="Arial" w:hAnsi="Arial" w:cs="Arial"/>
        </w:rPr>
        <w:t xml:space="preserve">al o de cualquier otro carácter (en este sentido </w:t>
      </w:r>
      <w:r>
        <w:rPr>
          <w:rFonts w:ascii="Arial" w:eastAsia="Arial" w:hAnsi="Arial" w:cs="Arial"/>
          <w:highlight w:val="white"/>
        </w:rPr>
        <w:t xml:space="preserve">CS, 23/10/07, "Zhang, </w:t>
      </w:r>
      <w:proofErr w:type="spellStart"/>
      <w:r>
        <w:rPr>
          <w:rFonts w:ascii="Arial" w:eastAsia="Arial" w:hAnsi="Arial" w:cs="Arial"/>
          <w:highlight w:val="white"/>
        </w:rPr>
        <w:t>Hang</w:t>
      </w:r>
      <w:proofErr w:type="spellEnd"/>
      <w:r>
        <w:rPr>
          <w:rFonts w:ascii="Arial" w:eastAsia="Arial" w:hAnsi="Arial" w:cs="Arial"/>
          <w:highlight w:val="white"/>
        </w:rPr>
        <w:t xml:space="preserve"> c/Estado Nacional - Ministerio de Relaciones Exteriores y Culto", Fallos 330:4554</w:t>
      </w:r>
      <w:r>
        <w:rPr>
          <w:rFonts w:ascii="Arial" w:eastAsia="Arial" w:hAnsi="Arial" w:cs="Arial"/>
        </w:rPr>
        <w:t>).</w:t>
      </w:r>
    </w:p>
    <w:p w:rsidR="00090198" w:rsidRDefault="00160032">
      <w:pPr>
        <w:pStyle w:val="normal0"/>
        <w:spacing w:line="360" w:lineRule="auto"/>
        <w:ind w:firstLine="2690"/>
        <w:jc w:val="both"/>
      </w:pPr>
      <w:r>
        <w:rPr>
          <w:rFonts w:ascii="Arial" w:eastAsia="Arial" w:hAnsi="Arial" w:cs="Arial"/>
        </w:rPr>
        <w:t>Esa garantía, no puede ser obviada so peligro de caer en la arbitrariedad. Objetivamente analiza</w:t>
      </w:r>
      <w:r>
        <w:rPr>
          <w:rFonts w:ascii="Arial" w:eastAsia="Arial" w:hAnsi="Arial" w:cs="Arial"/>
        </w:rPr>
        <w:t xml:space="preserve">das estas actuaciones, no abrigamos duda alguna en que ese derecho, ese principio, esa garantía, es mucho más fuerte de lo que surge de los elementos incorporados, ya que -reiteramos- exige que se pruebe “fuera de toda duda razonable” la culpabilidad de a </w:t>
      </w:r>
      <w:r>
        <w:rPr>
          <w:rFonts w:ascii="Arial" w:eastAsia="Arial" w:hAnsi="Arial" w:cs="Arial"/>
        </w:rPr>
        <w:t>quien se acusa, quien debe gozar en todo momento del beneficio de la duda, y debe ser tratado como inocente hasta el momento en que sea declarado culpable de los hechos que se le imputan, por sentencia judicial firme (</w:t>
      </w:r>
      <w:proofErr w:type="spellStart"/>
      <w:r>
        <w:rPr>
          <w:rFonts w:ascii="Arial" w:eastAsia="Arial" w:hAnsi="Arial" w:cs="Arial"/>
          <w:highlight w:val="white"/>
        </w:rPr>
        <w:t>United</w:t>
      </w:r>
      <w:proofErr w:type="spellEnd"/>
      <w:r>
        <w:rPr>
          <w:rFonts w:ascii="Arial" w:eastAsia="Arial" w:hAnsi="Arial" w:cs="Arial"/>
          <w:highlight w:val="white"/>
        </w:rPr>
        <w:t xml:space="preserve"> </w:t>
      </w:r>
      <w:proofErr w:type="spellStart"/>
      <w:r>
        <w:rPr>
          <w:rFonts w:ascii="Arial" w:eastAsia="Arial" w:hAnsi="Arial" w:cs="Arial"/>
          <w:highlight w:val="white"/>
        </w:rPr>
        <w:t>Nations</w:t>
      </w:r>
      <w:proofErr w:type="spellEnd"/>
      <w:r>
        <w:rPr>
          <w:rFonts w:ascii="Arial" w:eastAsia="Arial" w:hAnsi="Arial" w:cs="Arial"/>
          <w:highlight w:val="white"/>
        </w:rPr>
        <w:t xml:space="preserve">, </w:t>
      </w:r>
      <w:proofErr w:type="spellStart"/>
      <w:r>
        <w:rPr>
          <w:rFonts w:ascii="Arial" w:eastAsia="Arial" w:hAnsi="Arial" w:cs="Arial"/>
          <w:highlight w:val="white"/>
        </w:rPr>
        <w:t>Human</w:t>
      </w:r>
      <w:proofErr w:type="spellEnd"/>
      <w:r>
        <w:rPr>
          <w:rFonts w:ascii="Arial" w:eastAsia="Arial" w:hAnsi="Arial" w:cs="Arial"/>
          <w:highlight w:val="white"/>
        </w:rPr>
        <w:t xml:space="preserve"> </w:t>
      </w:r>
      <w:proofErr w:type="spellStart"/>
      <w:r>
        <w:rPr>
          <w:rFonts w:ascii="Arial" w:eastAsia="Arial" w:hAnsi="Arial" w:cs="Arial"/>
          <w:highlight w:val="white"/>
        </w:rPr>
        <w:t>Rights</w:t>
      </w:r>
      <w:proofErr w:type="spellEnd"/>
      <w:r>
        <w:rPr>
          <w:rFonts w:ascii="Arial" w:eastAsia="Arial" w:hAnsi="Arial" w:cs="Arial"/>
          <w:highlight w:val="white"/>
        </w:rPr>
        <w:t xml:space="preserve"> </w:t>
      </w:r>
      <w:proofErr w:type="spellStart"/>
      <w:r>
        <w:rPr>
          <w:rFonts w:ascii="Arial" w:eastAsia="Arial" w:hAnsi="Arial" w:cs="Arial"/>
          <w:highlight w:val="white"/>
        </w:rPr>
        <w:t>Committee</w:t>
      </w:r>
      <w:proofErr w:type="spellEnd"/>
      <w:r>
        <w:rPr>
          <w:rFonts w:ascii="Arial" w:eastAsia="Arial" w:hAnsi="Arial" w:cs="Arial"/>
          <w:highlight w:val="white"/>
        </w:rPr>
        <w:t xml:space="preserve">, 21st. </w:t>
      </w:r>
      <w:proofErr w:type="spellStart"/>
      <w:r>
        <w:rPr>
          <w:rFonts w:ascii="Arial" w:eastAsia="Arial" w:hAnsi="Arial" w:cs="Arial"/>
          <w:highlight w:val="white"/>
        </w:rPr>
        <w:t>Session</w:t>
      </w:r>
      <w:proofErr w:type="spellEnd"/>
      <w:r>
        <w:rPr>
          <w:rFonts w:ascii="Arial" w:eastAsia="Arial" w:hAnsi="Arial" w:cs="Arial"/>
          <w:highlight w:val="white"/>
        </w:rPr>
        <w:t xml:space="preserve">, 13/04/84, General </w:t>
      </w:r>
      <w:proofErr w:type="spellStart"/>
      <w:r>
        <w:rPr>
          <w:rFonts w:ascii="Arial" w:eastAsia="Arial" w:hAnsi="Arial" w:cs="Arial"/>
          <w:highlight w:val="white"/>
        </w:rPr>
        <w:t>Comment</w:t>
      </w:r>
      <w:proofErr w:type="spellEnd"/>
      <w:r>
        <w:rPr>
          <w:rFonts w:ascii="Arial" w:eastAsia="Arial" w:hAnsi="Arial" w:cs="Arial"/>
          <w:highlight w:val="white"/>
        </w:rPr>
        <w:t xml:space="preserve"> Nº 13: “</w:t>
      </w:r>
      <w:proofErr w:type="spellStart"/>
      <w:r>
        <w:rPr>
          <w:rFonts w:ascii="Arial" w:eastAsia="Arial" w:hAnsi="Arial" w:cs="Arial"/>
          <w:highlight w:val="white"/>
        </w:rPr>
        <w:t>Equality</w:t>
      </w:r>
      <w:proofErr w:type="spellEnd"/>
      <w:r>
        <w:rPr>
          <w:rFonts w:ascii="Arial" w:eastAsia="Arial" w:hAnsi="Arial" w:cs="Arial"/>
          <w:highlight w:val="white"/>
        </w:rPr>
        <w:t xml:space="preserve"> </w:t>
      </w:r>
      <w:proofErr w:type="spellStart"/>
      <w:r>
        <w:rPr>
          <w:rFonts w:ascii="Arial" w:eastAsia="Arial" w:hAnsi="Arial" w:cs="Arial"/>
          <w:highlight w:val="white"/>
        </w:rPr>
        <w:t>before</w:t>
      </w:r>
      <w:proofErr w:type="spellEnd"/>
      <w:r>
        <w:rPr>
          <w:rFonts w:ascii="Arial" w:eastAsia="Arial" w:hAnsi="Arial" w:cs="Arial"/>
          <w:highlight w:val="white"/>
        </w:rPr>
        <w:t xml:space="preserve"> </w:t>
      </w:r>
      <w:proofErr w:type="spellStart"/>
      <w:r>
        <w:rPr>
          <w:rFonts w:ascii="Arial" w:eastAsia="Arial" w:hAnsi="Arial" w:cs="Arial"/>
          <w:highlight w:val="white"/>
        </w:rPr>
        <w:t>the</w:t>
      </w:r>
      <w:proofErr w:type="spellEnd"/>
      <w:r>
        <w:rPr>
          <w:rFonts w:ascii="Arial" w:eastAsia="Arial" w:hAnsi="Arial" w:cs="Arial"/>
          <w:highlight w:val="white"/>
        </w:rPr>
        <w:t xml:space="preserve"> </w:t>
      </w:r>
      <w:proofErr w:type="spellStart"/>
      <w:r>
        <w:rPr>
          <w:rFonts w:ascii="Arial" w:eastAsia="Arial" w:hAnsi="Arial" w:cs="Arial"/>
          <w:highlight w:val="white"/>
        </w:rPr>
        <w:t>courts</w:t>
      </w:r>
      <w:proofErr w:type="spellEnd"/>
      <w:r>
        <w:rPr>
          <w:rFonts w:ascii="Arial" w:eastAsia="Arial" w:hAnsi="Arial" w:cs="Arial"/>
          <w:highlight w:val="white"/>
        </w:rPr>
        <w:t xml:space="preserve"> and </w:t>
      </w:r>
      <w:proofErr w:type="spellStart"/>
      <w:r>
        <w:rPr>
          <w:rFonts w:ascii="Arial" w:eastAsia="Arial" w:hAnsi="Arial" w:cs="Arial"/>
          <w:highlight w:val="white"/>
        </w:rPr>
        <w:t>the</w:t>
      </w:r>
      <w:proofErr w:type="spellEnd"/>
      <w:r>
        <w:rPr>
          <w:rFonts w:ascii="Arial" w:eastAsia="Arial" w:hAnsi="Arial" w:cs="Arial"/>
          <w:highlight w:val="white"/>
        </w:rPr>
        <w:t xml:space="preserve"> </w:t>
      </w:r>
      <w:proofErr w:type="spellStart"/>
      <w:r>
        <w:rPr>
          <w:rFonts w:ascii="Arial" w:eastAsia="Arial" w:hAnsi="Arial" w:cs="Arial"/>
          <w:highlight w:val="white"/>
        </w:rPr>
        <w:t>right</w:t>
      </w:r>
      <w:proofErr w:type="spellEnd"/>
      <w:r>
        <w:rPr>
          <w:rFonts w:ascii="Arial" w:eastAsia="Arial" w:hAnsi="Arial" w:cs="Arial"/>
          <w:highlight w:val="white"/>
        </w:rPr>
        <w:t xml:space="preserve"> </w:t>
      </w:r>
      <w:proofErr w:type="spellStart"/>
      <w:r>
        <w:rPr>
          <w:rFonts w:ascii="Arial" w:eastAsia="Arial" w:hAnsi="Arial" w:cs="Arial"/>
          <w:highlight w:val="white"/>
        </w:rPr>
        <w:t>to</w:t>
      </w:r>
      <w:proofErr w:type="spellEnd"/>
      <w:r>
        <w:rPr>
          <w:rFonts w:ascii="Arial" w:eastAsia="Arial" w:hAnsi="Arial" w:cs="Arial"/>
          <w:highlight w:val="white"/>
        </w:rPr>
        <w:t xml:space="preserve"> a </w:t>
      </w:r>
      <w:proofErr w:type="spellStart"/>
      <w:r>
        <w:rPr>
          <w:rFonts w:ascii="Arial" w:eastAsia="Arial" w:hAnsi="Arial" w:cs="Arial"/>
          <w:highlight w:val="white"/>
        </w:rPr>
        <w:t>fair</w:t>
      </w:r>
      <w:proofErr w:type="spellEnd"/>
      <w:r>
        <w:rPr>
          <w:rFonts w:ascii="Arial" w:eastAsia="Arial" w:hAnsi="Arial" w:cs="Arial"/>
          <w:highlight w:val="white"/>
        </w:rPr>
        <w:t xml:space="preserve"> and </w:t>
      </w:r>
      <w:proofErr w:type="spellStart"/>
      <w:r>
        <w:rPr>
          <w:rFonts w:ascii="Arial" w:eastAsia="Arial" w:hAnsi="Arial" w:cs="Arial"/>
          <w:highlight w:val="white"/>
        </w:rPr>
        <w:t>public</w:t>
      </w:r>
      <w:proofErr w:type="spellEnd"/>
      <w:r>
        <w:rPr>
          <w:rFonts w:ascii="Arial" w:eastAsia="Arial" w:hAnsi="Arial" w:cs="Arial"/>
          <w:highlight w:val="white"/>
        </w:rPr>
        <w:t xml:space="preserve"> </w:t>
      </w:r>
      <w:proofErr w:type="spellStart"/>
      <w:r>
        <w:rPr>
          <w:rFonts w:ascii="Arial" w:eastAsia="Arial" w:hAnsi="Arial" w:cs="Arial"/>
          <w:highlight w:val="white"/>
        </w:rPr>
        <w:t>hearing</w:t>
      </w:r>
      <w:proofErr w:type="spellEnd"/>
      <w:r>
        <w:rPr>
          <w:rFonts w:ascii="Arial" w:eastAsia="Arial" w:hAnsi="Arial" w:cs="Arial"/>
          <w:highlight w:val="white"/>
        </w:rPr>
        <w:t xml:space="preserve"> </w:t>
      </w:r>
      <w:proofErr w:type="spellStart"/>
      <w:r>
        <w:rPr>
          <w:rFonts w:ascii="Arial" w:eastAsia="Arial" w:hAnsi="Arial" w:cs="Arial"/>
          <w:highlight w:val="white"/>
        </w:rPr>
        <w:t>by</w:t>
      </w:r>
      <w:proofErr w:type="spellEnd"/>
      <w:r>
        <w:rPr>
          <w:rFonts w:ascii="Arial" w:eastAsia="Arial" w:hAnsi="Arial" w:cs="Arial"/>
          <w:highlight w:val="white"/>
        </w:rPr>
        <w:t xml:space="preserve"> </w:t>
      </w:r>
      <w:proofErr w:type="spellStart"/>
      <w:r>
        <w:rPr>
          <w:rFonts w:ascii="Arial" w:eastAsia="Arial" w:hAnsi="Arial" w:cs="Arial"/>
          <w:highlight w:val="white"/>
        </w:rPr>
        <w:t>an</w:t>
      </w:r>
      <w:proofErr w:type="spellEnd"/>
      <w:r>
        <w:rPr>
          <w:rFonts w:ascii="Arial" w:eastAsia="Arial" w:hAnsi="Arial" w:cs="Arial"/>
          <w:highlight w:val="white"/>
        </w:rPr>
        <w:t xml:space="preserve"> </w:t>
      </w:r>
      <w:proofErr w:type="spellStart"/>
      <w:r>
        <w:rPr>
          <w:rFonts w:ascii="Arial" w:eastAsia="Arial" w:hAnsi="Arial" w:cs="Arial"/>
          <w:highlight w:val="white"/>
        </w:rPr>
        <w:t>independent</w:t>
      </w:r>
      <w:proofErr w:type="spellEnd"/>
      <w:r>
        <w:rPr>
          <w:rFonts w:ascii="Arial" w:eastAsia="Arial" w:hAnsi="Arial" w:cs="Arial"/>
          <w:highlight w:val="white"/>
        </w:rPr>
        <w:t xml:space="preserve"> </w:t>
      </w:r>
      <w:proofErr w:type="spellStart"/>
      <w:r>
        <w:rPr>
          <w:rFonts w:ascii="Arial" w:eastAsia="Arial" w:hAnsi="Arial" w:cs="Arial"/>
          <w:highlight w:val="white"/>
        </w:rPr>
        <w:t>court</w:t>
      </w:r>
      <w:proofErr w:type="spellEnd"/>
      <w:r>
        <w:rPr>
          <w:rFonts w:ascii="Arial" w:eastAsia="Arial" w:hAnsi="Arial" w:cs="Arial"/>
          <w:highlight w:val="white"/>
        </w:rPr>
        <w:t xml:space="preserve"> </w:t>
      </w:r>
      <w:proofErr w:type="spellStart"/>
      <w:r>
        <w:rPr>
          <w:rFonts w:ascii="Arial" w:eastAsia="Arial" w:hAnsi="Arial" w:cs="Arial"/>
          <w:highlight w:val="white"/>
        </w:rPr>
        <w:t>established</w:t>
      </w:r>
      <w:proofErr w:type="spellEnd"/>
      <w:r>
        <w:rPr>
          <w:rFonts w:ascii="Arial" w:eastAsia="Arial" w:hAnsi="Arial" w:cs="Arial"/>
          <w:highlight w:val="white"/>
        </w:rPr>
        <w:t xml:space="preserve"> </w:t>
      </w:r>
      <w:proofErr w:type="spellStart"/>
      <w:r>
        <w:rPr>
          <w:rFonts w:ascii="Arial" w:eastAsia="Arial" w:hAnsi="Arial" w:cs="Arial"/>
          <w:highlight w:val="white"/>
        </w:rPr>
        <w:t>by</w:t>
      </w:r>
      <w:proofErr w:type="spellEnd"/>
      <w:r>
        <w:rPr>
          <w:rFonts w:ascii="Arial" w:eastAsia="Arial" w:hAnsi="Arial" w:cs="Arial"/>
          <w:highlight w:val="white"/>
        </w:rPr>
        <w:t xml:space="preserve"> </w:t>
      </w:r>
      <w:proofErr w:type="spellStart"/>
      <w:r>
        <w:rPr>
          <w:rFonts w:ascii="Arial" w:eastAsia="Arial" w:hAnsi="Arial" w:cs="Arial"/>
          <w:highlight w:val="white"/>
        </w:rPr>
        <w:t>law</w:t>
      </w:r>
      <w:proofErr w:type="spellEnd"/>
      <w:r>
        <w:rPr>
          <w:rFonts w:ascii="Arial" w:eastAsia="Arial" w:hAnsi="Arial" w:cs="Arial"/>
          <w:highlight w:val="white"/>
        </w:rPr>
        <w:t>” art. 14 CCPR, párr. 7</w:t>
      </w:r>
      <w:r>
        <w:rPr>
          <w:rFonts w:ascii="Arial" w:eastAsia="Arial" w:hAnsi="Arial" w:cs="Arial"/>
        </w:rPr>
        <w:t>).</w:t>
      </w:r>
      <w:r>
        <w:rPr>
          <w:rFonts w:ascii="Arial" w:eastAsia="Arial" w:hAnsi="Arial" w:cs="Arial"/>
          <w:b/>
        </w:rPr>
        <w:t xml:space="preserve"> </w:t>
      </w:r>
      <w:r>
        <w:rPr>
          <w:rFonts w:ascii="Arial" w:eastAsia="Arial" w:hAnsi="Arial" w:cs="Arial"/>
        </w:rPr>
        <w:t>La misma Corte IDH ha señalado que en la presunción de inocencia su</w:t>
      </w:r>
      <w:r>
        <w:rPr>
          <w:rFonts w:ascii="Arial" w:eastAsia="Arial" w:hAnsi="Arial" w:cs="Arial"/>
        </w:rPr>
        <w:t>byace el propósito de las garantías al afirmar la idea de que una persona es inocente hasta que su culpabilidad sea demostrada (</w:t>
      </w:r>
      <w:r>
        <w:rPr>
          <w:rFonts w:ascii="Arial" w:eastAsia="Arial" w:hAnsi="Arial" w:cs="Arial"/>
          <w:highlight w:val="white"/>
        </w:rPr>
        <w:t>Corte IDH, Caso Suárez Rosero Vs. Ecuador, Sentencia de 12 de noviembre de 1997, Serie C Nº 35, párr. 77</w:t>
      </w:r>
      <w:r>
        <w:rPr>
          <w:rFonts w:ascii="Arial" w:eastAsia="Arial" w:hAnsi="Arial" w:cs="Arial"/>
        </w:rPr>
        <w:t xml:space="preserve">). En igual sentido, se </w:t>
      </w:r>
      <w:r>
        <w:rPr>
          <w:rFonts w:ascii="Arial" w:eastAsia="Arial" w:hAnsi="Arial" w:cs="Arial"/>
        </w:rPr>
        <w:t>ha dicho que esta garantía exige que una persona no pueda ser condenada mientras no exista prueba plena de su responsabilidad penal, debiendo ser absuelta en caso de que la prueba sea incompleta o insuficiente (</w:t>
      </w:r>
      <w:r>
        <w:rPr>
          <w:rFonts w:ascii="Arial" w:eastAsia="Arial" w:hAnsi="Arial" w:cs="Arial"/>
          <w:highlight w:val="white"/>
        </w:rPr>
        <w:t xml:space="preserve">Corte IDH, Caso Cantoral Benavides </w:t>
      </w:r>
      <w:r>
        <w:rPr>
          <w:rFonts w:ascii="Arial" w:eastAsia="Arial" w:hAnsi="Arial" w:cs="Arial"/>
          <w:highlight w:val="white"/>
        </w:rPr>
        <w:lastRenderedPageBreak/>
        <w:t xml:space="preserve">Vs. Perú, </w:t>
      </w:r>
      <w:r>
        <w:rPr>
          <w:rFonts w:ascii="Arial" w:eastAsia="Arial" w:hAnsi="Arial" w:cs="Arial"/>
          <w:highlight w:val="white"/>
        </w:rPr>
        <w:t>Sentencia de 18 de agosto de 2000, Serie C Nº 69, párr. 120. En igual sentido: CS, 12/12/06, "Miguel, Jorge A. D.", Fallos 329:5629)</w:t>
      </w:r>
      <w:r>
        <w:rPr>
          <w:rFonts w:ascii="Arial" w:eastAsia="Arial" w:hAnsi="Arial" w:cs="Arial"/>
        </w:rPr>
        <w:t>.</w:t>
      </w:r>
    </w:p>
    <w:p w:rsidR="00090198" w:rsidRDefault="00160032">
      <w:pPr>
        <w:pStyle w:val="normal0"/>
        <w:spacing w:line="360" w:lineRule="auto"/>
        <w:ind w:firstLine="2690"/>
        <w:jc w:val="both"/>
      </w:pPr>
      <w:r>
        <w:rPr>
          <w:rFonts w:ascii="Arial" w:eastAsia="Arial" w:hAnsi="Arial" w:cs="Arial"/>
        </w:rPr>
        <w:t xml:space="preserve">En este estadio y a modo de resumen podemos decir que </w:t>
      </w:r>
      <w:r>
        <w:rPr>
          <w:rFonts w:ascii="Arial" w:eastAsia="Arial" w:hAnsi="Arial" w:cs="Arial"/>
          <w:b/>
        </w:rPr>
        <w:t xml:space="preserve">la presunción de inocencia obliga a todas las autoridades públicas, </w:t>
      </w:r>
      <w:r>
        <w:rPr>
          <w:rFonts w:ascii="Arial" w:eastAsia="Arial" w:hAnsi="Arial" w:cs="Arial"/>
          <w:b/>
        </w:rPr>
        <w:t xml:space="preserve">inclusive al Honorable Senado de la provincia de Entre Ríos, a garantizar que las personas, incluyendo al Prof. PANOZZO, sean tratadas como inocentes hasta que se demuestre lo contrario, fuera de toda duda razonable y mediante una sentencia firme. </w:t>
      </w:r>
    </w:p>
    <w:p w:rsidR="00090198" w:rsidRDefault="00160032">
      <w:pPr>
        <w:pStyle w:val="normal0"/>
        <w:spacing w:line="360" w:lineRule="auto"/>
        <w:ind w:firstLine="2690"/>
        <w:jc w:val="both"/>
      </w:pPr>
      <w:r>
        <w:rPr>
          <w:rFonts w:ascii="Arial" w:eastAsia="Arial" w:hAnsi="Arial" w:cs="Arial"/>
          <w:highlight w:val="white"/>
        </w:rPr>
        <w:t>Al mism</w:t>
      </w:r>
      <w:r>
        <w:rPr>
          <w:rFonts w:ascii="Arial" w:eastAsia="Arial" w:hAnsi="Arial" w:cs="Arial"/>
          <w:highlight w:val="white"/>
        </w:rPr>
        <w:t xml:space="preserve">o tiempo, también a modo de resumen, sostenemos que </w:t>
      </w:r>
      <w:r>
        <w:rPr>
          <w:rFonts w:ascii="Arial" w:eastAsia="Arial" w:hAnsi="Arial" w:cs="Arial"/>
          <w:b/>
          <w:highlight w:val="white"/>
        </w:rPr>
        <w:t>la actuación y valoración que se hace desde la oposición, es contraria a la garantía del debido proceso, a la garantía de imparcialidad y a la presunción de inocencia, al tiempo que se presenta como atent</w:t>
      </w:r>
      <w:r>
        <w:rPr>
          <w:rFonts w:ascii="Arial" w:eastAsia="Arial" w:hAnsi="Arial" w:cs="Arial"/>
          <w:b/>
          <w:highlight w:val="white"/>
        </w:rPr>
        <w:t xml:space="preserve">atoria de la honra y dignidad que el </w:t>
      </w:r>
      <w:proofErr w:type="spellStart"/>
      <w:r>
        <w:rPr>
          <w:rFonts w:ascii="Arial" w:eastAsia="Arial" w:hAnsi="Arial" w:cs="Arial"/>
          <w:b/>
          <w:highlight w:val="white"/>
        </w:rPr>
        <w:t>prof.</w:t>
      </w:r>
      <w:proofErr w:type="spellEnd"/>
      <w:r>
        <w:rPr>
          <w:rFonts w:ascii="Arial" w:eastAsia="Arial" w:hAnsi="Arial" w:cs="Arial"/>
          <w:b/>
          <w:highlight w:val="white"/>
        </w:rPr>
        <w:t xml:space="preserve"> PANOZZO merece</w:t>
      </w:r>
      <w:r>
        <w:rPr>
          <w:rFonts w:ascii="Arial" w:eastAsia="Arial" w:hAnsi="Arial" w:cs="Arial"/>
          <w:highlight w:val="white"/>
        </w:rPr>
        <w:t>.</w:t>
      </w:r>
    </w:p>
    <w:p w:rsidR="00090198" w:rsidRDefault="00160032">
      <w:pPr>
        <w:pStyle w:val="normal0"/>
        <w:spacing w:line="360" w:lineRule="auto"/>
        <w:ind w:firstLine="2690"/>
        <w:jc w:val="both"/>
      </w:pPr>
      <w:r>
        <w:rPr>
          <w:rFonts w:ascii="Arial" w:eastAsia="Arial" w:hAnsi="Arial" w:cs="Arial"/>
          <w:highlight w:val="white"/>
        </w:rPr>
        <w:t>Es por todo lo expuesto, que quienes suscriben el presente en su calidad de miembros de esta Comisión de Asuntos Constitucionales y Acuerdos, aconsejan conceder el Acuerdo Constitucional solicitado</w:t>
      </w:r>
      <w:r>
        <w:rPr>
          <w:rFonts w:ascii="Arial" w:eastAsia="Arial" w:hAnsi="Arial" w:cs="Arial"/>
          <w:highlight w:val="white"/>
        </w:rPr>
        <w:t xml:space="preserve"> por el Poder Ejecutivo Provincial, elevando a la consideración del pleno del cuerpo el siguiente proyecto de RESOLUCIÓN.-</w:t>
      </w:r>
    </w:p>
    <w:p w:rsidR="00090198" w:rsidRDefault="00160032">
      <w:pPr>
        <w:pStyle w:val="normal0"/>
        <w:spacing w:line="360" w:lineRule="auto"/>
        <w:ind w:firstLine="720"/>
        <w:jc w:val="center"/>
      </w:pPr>
      <w:r>
        <w:rPr>
          <w:rFonts w:ascii="Arial" w:eastAsia="Arial" w:hAnsi="Arial" w:cs="Arial"/>
          <w:b/>
          <w:highlight w:val="white"/>
        </w:rPr>
        <w:t>LA HONORABLE CÁMARA DE SENADORES DE ENTRE RÍOS</w:t>
      </w:r>
    </w:p>
    <w:p w:rsidR="00090198" w:rsidRDefault="00160032">
      <w:pPr>
        <w:pStyle w:val="Ttulo3"/>
        <w:keepNext w:val="0"/>
        <w:keepLines w:val="0"/>
        <w:spacing w:line="360" w:lineRule="auto"/>
        <w:ind w:firstLine="720"/>
        <w:contextualSpacing w:val="0"/>
        <w:jc w:val="center"/>
      </w:pPr>
      <w:bookmarkStart w:id="0" w:name="h.icrk1vxf52hu" w:colFirst="0" w:colLast="0"/>
      <w:bookmarkEnd w:id="0"/>
      <w:r>
        <w:rPr>
          <w:rFonts w:ascii="Arial" w:eastAsia="Arial" w:hAnsi="Arial" w:cs="Arial"/>
          <w:sz w:val="22"/>
          <w:szCs w:val="22"/>
          <w:highlight w:val="white"/>
        </w:rPr>
        <w:t>RESUELVE</w:t>
      </w:r>
    </w:p>
    <w:p w:rsidR="00090198" w:rsidRDefault="00160032">
      <w:pPr>
        <w:pStyle w:val="normal0"/>
        <w:spacing w:line="360" w:lineRule="auto"/>
        <w:ind w:firstLine="720"/>
        <w:jc w:val="both"/>
      </w:pPr>
      <w:r>
        <w:rPr>
          <w:rFonts w:ascii="Arial" w:eastAsia="Arial" w:hAnsi="Arial" w:cs="Arial"/>
          <w:b/>
          <w:highlight w:val="white"/>
          <w:u w:val="single"/>
        </w:rPr>
        <w:t>ARTÍCULO 1º</w:t>
      </w:r>
      <w:r>
        <w:rPr>
          <w:rFonts w:ascii="Arial" w:eastAsia="Arial" w:hAnsi="Arial" w:cs="Arial"/>
          <w:highlight w:val="white"/>
        </w:rPr>
        <w:t>: Prestar el Acuerdo Constitucional, solicitado por el Poder Ejecu</w:t>
      </w:r>
      <w:r>
        <w:rPr>
          <w:rFonts w:ascii="Arial" w:eastAsia="Arial" w:hAnsi="Arial" w:cs="Arial"/>
          <w:highlight w:val="white"/>
        </w:rPr>
        <w:t xml:space="preserve">tivo, para nombrar Director General de Escuelas de la Provincia de Entre Ríos,  al Prof. </w:t>
      </w:r>
      <w:r>
        <w:rPr>
          <w:rFonts w:ascii="Arial" w:eastAsia="Arial" w:hAnsi="Arial" w:cs="Arial"/>
          <w:b/>
          <w:highlight w:val="white"/>
        </w:rPr>
        <w:t>JOSÉ LUIS PANOZZO</w:t>
      </w:r>
      <w:r>
        <w:rPr>
          <w:rFonts w:ascii="Arial" w:eastAsia="Arial" w:hAnsi="Arial" w:cs="Arial"/>
          <w:highlight w:val="white"/>
        </w:rPr>
        <w:t>, D.N.I. Nº 22.246.282, clase 1971.-</w:t>
      </w:r>
    </w:p>
    <w:p w:rsidR="00090198" w:rsidRDefault="00160032">
      <w:pPr>
        <w:pStyle w:val="normal0"/>
        <w:spacing w:line="360" w:lineRule="auto"/>
        <w:ind w:firstLine="720"/>
        <w:jc w:val="both"/>
      </w:pPr>
      <w:r>
        <w:rPr>
          <w:rFonts w:ascii="Arial" w:eastAsia="Arial" w:hAnsi="Arial" w:cs="Arial"/>
          <w:b/>
          <w:highlight w:val="white"/>
          <w:u w:val="single"/>
        </w:rPr>
        <w:t>ARTÍCULO 2º</w:t>
      </w:r>
      <w:r>
        <w:rPr>
          <w:rFonts w:ascii="Arial" w:eastAsia="Arial" w:hAnsi="Arial" w:cs="Arial"/>
          <w:highlight w:val="white"/>
        </w:rPr>
        <w:t xml:space="preserve">: Comuníquese, </w:t>
      </w:r>
      <w:proofErr w:type="gramStart"/>
      <w:r>
        <w:rPr>
          <w:rFonts w:ascii="Arial" w:eastAsia="Arial" w:hAnsi="Arial" w:cs="Arial"/>
          <w:highlight w:val="white"/>
        </w:rPr>
        <w:t>etc..</w:t>
      </w:r>
      <w:proofErr w:type="gramEnd"/>
      <w:r>
        <w:rPr>
          <w:rFonts w:ascii="Arial" w:eastAsia="Arial" w:hAnsi="Arial" w:cs="Arial"/>
          <w:highlight w:val="white"/>
        </w:rPr>
        <w:t>-</w:t>
      </w:r>
    </w:p>
    <w:p w:rsidR="00090198" w:rsidRDefault="00160032">
      <w:pPr>
        <w:pStyle w:val="Ttulo2"/>
        <w:keepNext w:val="0"/>
        <w:keepLines w:val="0"/>
        <w:spacing w:line="360" w:lineRule="auto"/>
        <w:ind w:left="2840"/>
        <w:contextualSpacing w:val="0"/>
        <w:jc w:val="both"/>
      </w:pPr>
      <w:bookmarkStart w:id="1" w:name="h.bnztopr7i921" w:colFirst="0" w:colLast="0"/>
      <w:bookmarkEnd w:id="1"/>
      <w:r>
        <w:rPr>
          <w:rFonts w:ascii="Arial" w:eastAsia="Arial" w:hAnsi="Arial" w:cs="Arial"/>
          <w:b w:val="0"/>
          <w:sz w:val="22"/>
          <w:szCs w:val="22"/>
          <w:highlight w:val="white"/>
        </w:rPr>
        <w:t>PARANÁ, 29 de junio de 2016. Sala de Comisiones.-</w:t>
      </w:r>
    </w:p>
    <w:p w:rsidR="00090198" w:rsidRDefault="00090198">
      <w:pPr>
        <w:pStyle w:val="normal0"/>
      </w:pPr>
    </w:p>
    <w:p w:rsidR="00090198" w:rsidRDefault="00090198">
      <w:pPr>
        <w:pStyle w:val="normal0"/>
      </w:pPr>
    </w:p>
    <w:p w:rsidR="00090198" w:rsidRDefault="00160032">
      <w:pPr>
        <w:pStyle w:val="normal0"/>
      </w:pPr>
      <w:r>
        <w:rPr>
          <w:rFonts w:ascii="Arial" w:eastAsia="Arial" w:hAnsi="Arial" w:cs="Arial"/>
          <w:b/>
        </w:rPr>
        <w:t>Lucas LARRARTE</w:t>
      </w:r>
    </w:p>
    <w:p w:rsidR="00090198" w:rsidRDefault="00090198">
      <w:pPr>
        <w:pStyle w:val="normal0"/>
      </w:pPr>
    </w:p>
    <w:p w:rsidR="00090198" w:rsidRDefault="00090198">
      <w:pPr>
        <w:pStyle w:val="normal0"/>
      </w:pPr>
    </w:p>
    <w:p w:rsidR="00090198" w:rsidRDefault="00160032">
      <w:pPr>
        <w:pStyle w:val="normal0"/>
      </w:pPr>
      <w:proofErr w:type="spellStart"/>
      <w:r>
        <w:rPr>
          <w:rFonts w:ascii="Arial" w:eastAsia="Arial" w:hAnsi="Arial" w:cs="Arial"/>
          <w:b/>
        </w:rPr>
        <w:t>Angel</w:t>
      </w:r>
      <w:proofErr w:type="spellEnd"/>
      <w:r>
        <w:rPr>
          <w:rFonts w:ascii="Arial" w:eastAsia="Arial" w:hAnsi="Arial" w:cs="Arial"/>
          <w:b/>
        </w:rPr>
        <w:t xml:space="preserve"> Francisco GIANO</w:t>
      </w:r>
    </w:p>
    <w:p w:rsidR="00090198" w:rsidRDefault="00090198">
      <w:pPr>
        <w:pStyle w:val="normal0"/>
      </w:pPr>
    </w:p>
    <w:p w:rsidR="00090198" w:rsidRDefault="00090198">
      <w:pPr>
        <w:pStyle w:val="normal0"/>
      </w:pPr>
    </w:p>
    <w:p w:rsidR="00090198" w:rsidRDefault="00160032">
      <w:pPr>
        <w:pStyle w:val="normal0"/>
      </w:pPr>
      <w:r>
        <w:rPr>
          <w:rFonts w:ascii="Arial" w:eastAsia="Arial" w:hAnsi="Arial" w:cs="Arial"/>
          <w:b/>
        </w:rPr>
        <w:t>Nancy Susana MIRANDA</w:t>
      </w:r>
    </w:p>
    <w:p w:rsidR="00090198" w:rsidRDefault="00090198">
      <w:pPr>
        <w:pStyle w:val="normal0"/>
      </w:pPr>
    </w:p>
    <w:p w:rsidR="00090198" w:rsidRDefault="00090198">
      <w:pPr>
        <w:pStyle w:val="normal0"/>
      </w:pPr>
    </w:p>
    <w:p w:rsidR="00090198" w:rsidRDefault="00160032">
      <w:pPr>
        <w:pStyle w:val="normal0"/>
      </w:pPr>
      <w:r>
        <w:rPr>
          <w:rFonts w:ascii="Arial" w:eastAsia="Arial" w:hAnsi="Arial" w:cs="Arial"/>
          <w:b/>
        </w:rPr>
        <w:t>Pablo Andrés CANALI</w:t>
      </w:r>
    </w:p>
    <w:p w:rsidR="00090198" w:rsidRDefault="00090198">
      <w:pPr>
        <w:pStyle w:val="normal0"/>
        <w:ind w:firstLine="720"/>
        <w:jc w:val="both"/>
      </w:pPr>
    </w:p>
    <w:p w:rsidR="00090198" w:rsidRDefault="00090198">
      <w:pPr>
        <w:pStyle w:val="normal0"/>
        <w:ind w:firstLine="720"/>
        <w:jc w:val="both"/>
      </w:pPr>
    </w:p>
    <w:p w:rsidR="00090198" w:rsidRDefault="00090198">
      <w:pPr>
        <w:pStyle w:val="normal0"/>
        <w:ind w:firstLine="720"/>
        <w:jc w:val="both"/>
      </w:pPr>
    </w:p>
    <w:p w:rsidR="00090198" w:rsidRDefault="00090198">
      <w:pPr>
        <w:pStyle w:val="normal0"/>
        <w:spacing w:after="0" w:line="240" w:lineRule="auto"/>
      </w:pPr>
    </w:p>
    <w:p w:rsidR="00090198" w:rsidRDefault="00090198">
      <w:pPr>
        <w:pStyle w:val="normal0"/>
        <w:spacing w:after="0" w:line="240" w:lineRule="auto"/>
      </w:pPr>
    </w:p>
    <w:p w:rsidR="00160032" w:rsidRDefault="00160032">
      <w:r>
        <w:br w:type="page"/>
      </w:r>
    </w:p>
    <w:p w:rsidR="00160032" w:rsidRDefault="00160032" w:rsidP="00160032">
      <w:pPr>
        <w:ind w:left="540"/>
        <w:jc w:val="center"/>
        <w:rPr>
          <w:b/>
        </w:rPr>
      </w:pPr>
    </w:p>
    <w:p w:rsidR="00160032" w:rsidRDefault="00160032" w:rsidP="00160032">
      <w:pPr>
        <w:ind w:left="540"/>
        <w:jc w:val="center"/>
        <w:rPr>
          <w:b/>
          <w:u w:val="single"/>
        </w:rPr>
      </w:pPr>
      <w:r>
        <w:rPr>
          <w:b/>
          <w:u w:val="single"/>
        </w:rPr>
        <w:t>DICTAMEN DE MINORIA</w:t>
      </w:r>
    </w:p>
    <w:p w:rsidR="00160032" w:rsidRDefault="00160032" w:rsidP="00160032">
      <w:pPr>
        <w:ind w:left="540"/>
        <w:jc w:val="both"/>
      </w:pPr>
      <w:r>
        <w:tab/>
      </w:r>
      <w:r>
        <w:tab/>
      </w:r>
      <w:r>
        <w:tab/>
      </w:r>
    </w:p>
    <w:p w:rsidR="00160032" w:rsidRDefault="00160032" w:rsidP="00160032">
      <w:pPr>
        <w:ind w:left="540"/>
        <w:jc w:val="both"/>
      </w:pPr>
    </w:p>
    <w:p w:rsidR="00160032" w:rsidRDefault="00160032" w:rsidP="00160032">
      <w:pPr>
        <w:ind w:left="540"/>
        <w:jc w:val="both"/>
        <w:rPr>
          <w:b/>
        </w:rPr>
      </w:pPr>
      <w:r>
        <w:rPr>
          <w:b/>
        </w:rPr>
        <w:t>HONORABLE SENADO:</w:t>
      </w:r>
    </w:p>
    <w:p w:rsidR="00160032" w:rsidRDefault="00160032" w:rsidP="00160032">
      <w:pPr>
        <w:ind w:left="540"/>
        <w:jc w:val="both"/>
      </w:pPr>
      <w:r>
        <w:t xml:space="preserve"> </w:t>
      </w:r>
      <w:r>
        <w:tab/>
      </w:r>
      <w:r>
        <w:tab/>
      </w:r>
      <w:r>
        <w:tab/>
      </w:r>
      <w:r>
        <w:tab/>
        <w:t>Vuestra Comisión de Asuntos Constitucionales y Acuerdo, ha considerado el Expediente N: 11280 – H.C.S. de fecha 10 de febrero de 2016; y, por las razones expuestas en el informe y Proyecto de Resolución que se acompaña y las que dará el miembro informante, aconsejan rechazar la solicitud de acuerdo efectuada por el Poder Ejecutivo:</w:t>
      </w:r>
    </w:p>
    <w:p w:rsidR="00160032" w:rsidRDefault="00160032" w:rsidP="00160032">
      <w:pPr>
        <w:ind w:left="540"/>
        <w:jc w:val="both"/>
      </w:pPr>
    </w:p>
    <w:p w:rsidR="00160032" w:rsidRDefault="00160032" w:rsidP="00160032">
      <w:pPr>
        <w:ind w:left="540"/>
        <w:jc w:val="both"/>
        <w:rPr>
          <w:b/>
          <w:u w:val="single"/>
        </w:rPr>
      </w:pPr>
      <w:r>
        <w:t xml:space="preserve">            </w:t>
      </w:r>
      <w:r>
        <w:rPr>
          <w:b/>
          <w:u w:val="single"/>
        </w:rPr>
        <w:t>INFORME</w:t>
      </w:r>
      <w:r>
        <w:t xml:space="preserve">: </w:t>
      </w:r>
    </w:p>
    <w:p w:rsidR="00160032" w:rsidRDefault="00160032" w:rsidP="00160032">
      <w:pPr>
        <w:ind w:left="540"/>
        <w:jc w:val="both"/>
      </w:pPr>
    </w:p>
    <w:p w:rsidR="00160032" w:rsidRDefault="00160032" w:rsidP="00160032">
      <w:pPr>
        <w:ind w:left="540"/>
        <w:jc w:val="both"/>
      </w:pPr>
      <w:r>
        <w:t xml:space="preserve"> </w:t>
      </w:r>
      <w:r>
        <w:tab/>
      </w:r>
      <w:r>
        <w:tab/>
      </w:r>
      <w:r>
        <w:tab/>
      </w:r>
      <w:r>
        <w:tab/>
        <w:t xml:space="preserve">En el marco del acuerdo solicitado por el Señor Gobernador para designar como Presidente del Consejo General de Educación de la Provincia de Entre Ríos al Prof. José Luis </w:t>
      </w:r>
      <w:proofErr w:type="spellStart"/>
      <w:r>
        <w:t>Panozzo</w:t>
      </w:r>
      <w:proofErr w:type="spellEnd"/>
      <w:r>
        <w:t xml:space="preserve">, además de haberse recibido los antecedentes para acreditar su idoneidad, se requirió información al Honorable Tribunal de Cuentas de la Provincia de Entre Ríos, como también al Señor Fiscal de </w:t>
      </w:r>
      <w:proofErr w:type="spellStart"/>
      <w:r>
        <w:t>Chajarí</w:t>
      </w:r>
      <w:proofErr w:type="spellEnd"/>
      <w:r>
        <w:t xml:space="preserve"> Dr. Maximiliano </w:t>
      </w:r>
      <w:proofErr w:type="spellStart"/>
      <w:r>
        <w:t>Larocca</w:t>
      </w:r>
      <w:proofErr w:type="spellEnd"/>
      <w:r>
        <w:t xml:space="preserve"> </w:t>
      </w:r>
      <w:proofErr w:type="spellStart"/>
      <w:r>
        <w:t>Rees</w:t>
      </w:r>
      <w:proofErr w:type="spellEnd"/>
      <w:r>
        <w:t xml:space="preserve">, quien interviene en una denuncia promovida contra del mismo (Prof. </w:t>
      </w:r>
      <w:proofErr w:type="spellStart"/>
      <w:r>
        <w:t>Panozzo</w:t>
      </w:r>
      <w:proofErr w:type="spellEnd"/>
      <w:r>
        <w:t xml:space="preserve">), la que esta caratulada: </w:t>
      </w:r>
      <w:r>
        <w:rPr>
          <w:b/>
        </w:rPr>
        <w:t>“PANOZZO, JOSE LUIS Y OTROS-ABUSO DE AUTORIDAD E INCUMPLIMIENTO DE LOS DEBERES DE FUNCIONARIO PUBLICO” (Legajo de Investigación Nº 9083)</w:t>
      </w:r>
      <w:r>
        <w:t xml:space="preserve">, la que se ha formulado y </w:t>
      </w:r>
      <w:proofErr w:type="spellStart"/>
      <w:r>
        <w:t>esta</w:t>
      </w:r>
      <w:proofErr w:type="spellEnd"/>
      <w:r>
        <w:t xml:space="preserve"> vinculada con su desempeño al frente del Municipio de </w:t>
      </w:r>
      <w:proofErr w:type="spellStart"/>
      <w:r>
        <w:t>Chajarí</w:t>
      </w:r>
      <w:proofErr w:type="spellEnd"/>
      <w:r>
        <w:t xml:space="preserve"> como Presidente Municipal, cargo que ejerció hasta el 10 de diciembre de 2015. Desde luego también se lo escuchó ampliamente en la audiencia pública realizada en el recinto de la Honorable Cámara de Senadores de la Provincia el día 18 de mayo del corriente año. Todos estos antecedentes obran en el expediente respectivo, y que se individualizara precedentemente.-</w:t>
      </w:r>
    </w:p>
    <w:p w:rsidR="00160032" w:rsidRDefault="00160032" w:rsidP="00160032">
      <w:pPr>
        <w:ind w:left="540"/>
        <w:jc w:val="both"/>
      </w:pPr>
    </w:p>
    <w:p w:rsidR="00160032" w:rsidRDefault="00160032" w:rsidP="00160032">
      <w:pPr>
        <w:ind w:left="540"/>
        <w:jc w:val="both"/>
      </w:pPr>
      <w:r>
        <w:t xml:space="preserve"> </w:t>
      </w:r>
      <w:r>
        <w:tab/>
      </w:r>
      <w:r>
        <w:tab/>
      </w:r>
      <w:r>
        <w:tab/>
      </w:r>
      <w:r>
        <w:tab/>
        <w:t>Quienes suscriben  este dictamen, lo hacen en el marco de lo que establece el art. 19, punto e) del Reglamento de la Honorable Cámara de Senadores de Entre Ríos, y esta normativa requiere, nada menos,  que el dictamen sea fundado, ya sea aconsejando o rechazando el acuerdo solicitado por el Poder Ejecutivo.-</w:t>
      </w:r>
    </w:p>
    <w:p w:rsidR="00160032" w:rsidRDefault="00160032" w:rsidP="00160032">
      <w:pPr>
        <w:ind w:left="540"/>
        <w:jc w:val="both"/>
      </w:pPr>
    </w:p>
    <w:p w:rsidR="00160032" w:rsidRDefault="00160032" w:rsidP="00160032">
      <w:pPr>
        <w:ind w:left="540"/>
        <w:jc w:val="both"/>
      </w:pPr>
      <w:r>
        <w:t xml:space="preserve"> </w:t>
      </w:r>
      <w:r>
        <w:tab/>
      </w:r>
      <w:r>
        <w:tab/>
      </w:r>
      <w:r>
        <w:tab/>
      </w:r>
      <w:r>
        <w:tab/>
        <w:t xml:space="preserve">Frente a ello, evaluando todos los antecedentes del Prof. José Luís </w:t>
      </w:r>
      <w:proofErr w:type="spellStart"/>
      <w:r>
        <w:t>Panozzo</w:t>
      </w:r>
      <w:proofErr w:type="spellEnd"/>
      <w:r>
        <w:t xml:space="preserve"> se concluye que el mismo, a criterio de quienes suscriben este dictamen, no reúne las condiciones propias de idoneidad suficiente para cubrir un cargo de tanta importancia y relevancia, como es justamente la Presidencia del Consejo General de Educación de la Provincia de Entre Ríos.-</w:t>
      </w:r>
    </w:p>
    <w:p w:rsidR="00160032" w:rsidRDefault="00160032" w:rsidP="00160032">
      <w:pPr>
        <w:ind w:left="540"/>
        <w:jc w:val="both"/>
      </w:pPr>
    </w:p>
    <w:p w:rsidR="00160032" w:rsidRDefault="00160032" w:rsidP="00160032">
      <w:pPr>
        <w:ind w:left="540"/>
        <w:jc w:val="both"/>
      </w:pPr>
      <w:r>
        <w:t xml:space="preserve"> </w:t>
      </w:r>
      <w:r>
        <w:tab/>
      </w:r>
      <w:r>
        <w:tab/>
      </w:r>
      <w:r>
        <w:tab/>
      </w:r>
      <w:r>
        <w:tab/>
        <w:t xml:space="preserve">Para arribar a esta conclusión, y sin entrar a considerar lo que se puede estar sustanciando en la instancia judicial, frente a la causa penal abierta en su contra y todo vinculado con su desempeño como Intendente Municipal de la ciudad de </w:t>
      </w:r>
      <w:proofErr w:type="spellStart"/>
      <w:r>
        <w:t>Chajarí</w:t>
      </w:r>
      <w:proofErr w:type="spellEnd"/>
      <w:r>
        <w:t>, ya que sobre ello (causa penal) no se lo ha indagado en el marco de lo que establece el art. 19 del Reglamento de la Honorable Cámara de Senadores, sí corresponde tener muy presente lo que ha informado el Honorable Tribunal de Cuentas de la Provincia, e incluso lo que manifestó en la Audiencia Pública llevada adelante el 18 de mayo del corriente.-</w:t>
      </w:r>
    </w:p>
    <w:p w:rsidR="00160032" w:rsidRDefault="00160032" w:rsidP="00160032">
      <w:pPr>
        <w:ind w:left="540"/>
        <w:jc w:val="both"/>
      </w:pPr>
    </w:p>
    <w:p w:rsidR="00160032" w:rsidRDefault="00160032" w:rsidP="00160032">
      <w:pPr>
        <w:ind w:left="540"/>
        <w:jc w:val="both"/>
      </w:pPr>
      <w:r>
        <w:t xml:space="preserve"> </w:t>
      </w:r>
      <w:r>
        <w:tab/>
      </w:r>
      <w:r>
        <w:tab/>
      </w:r>
      <w:r>
        <w:tab/>
      </w:r>
      <w:r>
        <w:tab/>
        <w:t xml:space="preserve">Analizando detenidamente lo que informó el Honorable Tribunal de Cuentas de la Provincia, y vinculado con la ejecución de los presupuestos correspondientes a los años 2012, 2013 y 2014 de la Municipalidad de </w:t>
      </w:r>
      <w:proofErr w:type="spellStart"/>
      <w:r>
        <w:t>Chajarí</w:t>
      </w:r>
      <w:proofErr w:type="spellEnd"/>
      <w:r>
        <w:t xml:space="preserve">, se desprende, y para no ser agresivos, una enorme y reiteradas desprolijidades en el manejo de los fondos o recursos de la Municipalidad mencionada, y en esas irregularidades y desprolijidades ha tenido intervención directa el Prof. </w:t>
      </w:r>
      <w:proofErr w:type="spellStart"/>
      <w:r>
        <w:t>Panozzo</w:t>
      </w:r>
      <w:proofErr w:type="spellEnd"/>
      <w:r>
        <w:t>, como Presidente Municipal.-</w:t>
      </w:r>
    </w:p>
    <w:p w:rsidR="00160032" w:rsidRDefault="00160032" w:rsidP="00160032">
      <w:pPr>
        <w:ind w:left="540"/>
        <w:jc w:val="both"/>
      </w:pPr>
    </w:p>
    <w:p w:rsidR="00160032" w:rsidRDefault="00160032" w:rsidP="00160032">
      <w:pPr>
        <w:ind w:left="540"/>
        <w:jc w:val="both"/>
      </w:pPr>
      <w:r>
        <w:t xml:space="preserve"> </w:t>
      </w:r>
      <w:r>
        <w:tab/>
      </w:r>
      <w:r>
        <w:tab/>
      </w:r>
      <w:r>
        <w:tab/>
      </w:r>
      <w:r>
        <w:tab/>
        <w:t xml:space="preserve">Sobre esas inconsistencias detectadas por el Honorable Tribunal de Cuentas de la Provincia se lo indagó al Prof. </w:t>
      </w:r>
      <w:proofErr w:type="spellStart"/>
      <w:r>
        <w:t>Panozzo</w:t>
      </w:r>
      <w:proofErr w:type="spellEnd"/>
      <w:r>
        <w:t xml:space="preserve"> en la audiencia pública, y en verdad, frente a cada pregunta aparecía, como respuesta, un largo discurso tratando de desviar la respuesta concreta, y haciendo para ello argumentaciones poco convincentes y escasamente vinculadas con lo que concretamente se lo interrogaba. No brindó ninguna respuesta convincente sobre la falta de observancia del régimen de compras para  la obtención de mejores precios y/o el acceso a los distintos proveedores, y que los Auditores del Honorable Tribunal de Cuentas le fueron señalando en sus diversos dictámenes. No fue una sola advertencia la formulada por los mencionados Auditores, sino que se sucedían las mismas en el tiempo y en los tres ejercicios, sobre los cuales se pudo obtener la información pertinente. Es decir, las advertencias eran reiteradas, y a las mismas, siempre </w:t>
      </w:r>
      <w:proofErr w:type="spellStart"/>
      <w:r>
        <w:t>Panozzo</w:t>
      </w:r>
      <w:proofErr w:type="spellEnd"/>
      <w:r>
        <w:t xml:space="preserve"> </w:t>
      </w:r>
      <w:r>
        <w:lastRenderedPageBreak/>
        <w:t xml:space="preserve">hizo caso omiso, lo cual es grave, máxime que el presupuesto del Consejo General de Educación supera en más de 20 veces el presupuesto de la Municipalidad de la Ciudad de </w:t>
      </w:r>
      <w:proofErr w:type="spellStart"/>
      <w:r>
        <w:t>Chajarí</w:t>
      </w:r>
      <w:proofErr w:type="spellEnd"/>
      <w:r>
        <w:t>.-</w:t>
      </w:r>
    </w:p>
    <w:p w:rsidR="00160032" w:rsidRDefault="00160032" w:rsidP="00160032">
      <w:pPr>
        <w:ind w:left="540"/>
        <w:jc w:val="both"/>
      </w:pPr>
    </w:p>
    <w:p w:rsidR="00160032" w:rsidRDefault="00160032" w:rsidP="00160032">
      <w:pPr>
        <w:ind w:left="540"/>
        <w:jc w:val="both"/>
      </w:pPr>
      <w:r>
        <w:t xml:space="preserve"> </w:t>
      </w:r>
      <w:r>
        <w:tab/>
      </w:r>
      <w:r>
        <w:tab/>
      </w:r>
      <w:r>
        <w:tab/>
      </w:r>
      <w:r>
        <w:tab/>
        <w:t xml:space="preserve">La Auditora del Honorable Tribunal de Cuentas, Cont. Adriana </w:t>
      </w:r>
      <w:proofErr w:type="spellStart"/>
      <w:r>
        <w:t>Noe</w:t>
      </w:r>
      <w:proofErr w:type="spellEnd"/>
      <w:r>
        <w:t xml:space="preserve">, cuando dictaminó sobre el cierre del ejercicio del año 2013, advirtió la vulnerabilidad que había en el resguardo del patrimonio municipal, porque no había un control de la real existencia física de los bienes de la Municipalidad de la Ciudad de </w:t>
      </w:r>
      <w:proofErr w:type="spellStart"/>
      <w:r>
        <w:t>Chajarí</w:t>
      </w:r>
      <w:proofErr w:type="spellEnd"/>
      <w:r>
        <w:t xml:space="preserve">, y al preguntársele al Sr. </w:t>
      </w:r>
      <w:proofErr w:type="spellStart"/>
      <w:r>
        <w:t>Panozzo</w:t>
      </w:r>
      <w:proofErr w:type="spellEnd"/>
      <w:r>
        <w:t xml:space="preserve"> sobre ello tampoco apareció una respuesta clara. Es decir, siempre sobrevoló la duda en el manejo de los bienes públicos. Así también se advirtieron por los Auditores del Honorable Tribunal de Cuentas compras directas, con posibles fraccionamientos, y sin texto legal que justifique estas compras y/o las apruebe. Incluso las compras siempre se realizaban a los mismos comercios.-</w:t>
      </w:r>
    </w:p>
    <w:p w:rsidR="00160032" w:rsidRDefault="00160032" w:rsidP="00160032">
      <w:pPr>
        <w:ind w:left="540"/>
        <w:jc w:val="both"/>
      </w:pPr>
    </w:p>
    <w:p w:rsidR="00160032" w:rsidRDefault="00160032" w:rsidP="00160032">
      <w:pPr>
        <w:ind w:left="540"/>
        <w:jc w:val="both"/>
      </w:pPr>
      <w:r>
        <w:t xml:space="preserve"> </w:t>
      </w:r>
      <w:r>
        <w:tab/>
      </w:r>
      <w:r>
        <w:tab/>
      </w:r>
      <w:r>
        <w:tab/>
      </w:r>
      <w:r>
        <w:tab/>
        <w:t xml:space="preserve">También se advirtió, a través de los informes brindados por el Honorable Tribunal de Cuentas que no hubo acta de finalización de obra cuando se concretó la que se licitó bajo el Nº 012/2013, para la “Provisión de mano de obra y equipos para la Obra Ampliación Pavimento calle San Luís y Antártida entre 9 de Julio y P. </w:t>
      </w:r>
      <w:proofErr w:type="spellStart"/>
      <w:r>
        <w:t>Stampa</w:t>
      </w:r>
      <w:proofErr w:type="spellEnd"/>
      <w:r>
        <w:t>”. Incluso, en la construcción de esta obra hubo una demora o retardo de la empresa en llevarla adelante, y no se le cobró la multa que estaba estipulada, ni se dictó norma alguna para su exculpación, lo cual también fue observado por los Auditores del Tribunal de Cuentas.-</w:t>
      </w:r>
    </w:p>
    <w:p w:rsidR="00160032" w:rsidRDefault="00160032" w:rsidP="00160032">
      <w:pPr>
        <w:ind w:left="540"/>
        <w:jc w:val="both"/>
      </w:pPr>
    </w:p>
    <w:p w:rsidR="00160032" w:rsidRDefault="00160032" w:rsidP="00160032">
      <w:pPr>
        <w:ind w:left="540"/>
        <w:jc w:val="both"/>
      </w:pPr>
      <w:r>
        <w:t xml:space="preserve"> </w:t>
      </w:r>
      <w:r>
        <w:tab/>
      </w:r>
      <w:r>
        <w:tab/>
      </w:r>
      <w:r>
        <w:tab/>
      </w:r>
      <w:r>
        <w:tab/>
        <w:t>Otra irregularidad que se detectó por el Tribunal de Cuentas giró en torno a la licitación privada Nº 026/2013 “Provisión de Obra-Tanque de 100 metros cúbicos P.R.F.V.”, donde primero se informó que esa obra se había concluido, y resulta que ello no fue así, ya que luego, mucho tiempo después, recién se la dio por terminada, llegando a la conclusión la Auditoría del Tribunal de Cuentas de que la constancia extendida por el Secretario de Obras y Servicios Públicos podría ser apócrifa. En definitiva, se certificó la finalización de una obra 10 meses antes de que efectivamente ello ocurriera. Es evidente que se trata de irregularidades no admisible en una buena administración de la cosa pública.-</w:t>
      </w:r>
    </w:p>
    <w:p w:rsidR="00160032" w:rsidRDefault="00160032" w:rsidP="00160032">
      <w:pPr>
        <w:ind w:left="540"/>
        <w:jc w:val="both"/>
      </w:pPr>
    </w:p>
    <w:p w:rsidR="00160032" w:rsidRDefault="00160032" w:rsidP="00160032">
      <w:pPr>
        <w:ind w:left="540"/>
        <w:jc w:val="both"/>
      </w:pPr>
      <w:r>
        <w:t xml:space="preserve"> </w:t>
      </w:r>
      <w:r>
        <w:tab/>
      </w:r>
      <w:r>
        <w:tab/>
      </w:r>
      <w:r>
        <w:tab/>
      </w:r>
      <w:r>
        <w:tab/>
        <w:t xml:space="preserve">No es una cuestión menor lo que señala el Honorable Tribunal de Cuentas, en torno al ejercicio presupuestario del año 2013, cuando en el mismo se había presupuestado la compra de una Retroexcavadora y una </w:t>
      </w:r>
      <w:proofErr w:type="spellStart"/>
      <w:r>
        <w:lastRenderedPageBreak/>
        <w:t>Motoniveladora</w:t>
      </w:r>
      <w:proofErr w:type="spellEnd"/>
      <w:r>
        <w:t xml:space="preserve">, y luego, alegando necesidad y urgencia, se hizo la compra directa de un Retroexcavadora marca CASE Modelo 580 y una </w:t>
      </w:r>
      <w:proofErr w:type="spellStart"/>
      <w:r>
        <w:t>Motoniveladora</w:t>
      </w:r>
      <w:proofErr w:type="spellEnd"/>
      <w:r>
        <w:t xml:space="preserve"> marca VOLVO. La Auditoría sostiene que no había tal necesidad y urgencia, y con ello se obvió la licitación pública, que por el monto en juego ello era lo que correspondía.-</w:t>
      </w:r>
    </w:p>
    <w:p w:rsidR="00160032" w:rsidRDefault="00160032" w:rsidP="00160032">
      <w:pPr>
        <w:ind w:left="540"/>
        <w:jc w:val="both"/>
      </w:pPr>
    </w:p>
    <w:p w:rsidR="00160032" w:rsidRDefault="00160032" w:rsidP="00160032">
      <w:pPr>
        <w:ind w:left="540"/>
        <w:jc w:val="both"/>
      </w:pPr>
      <w:r>
        <w:t xml:space="preserve">Se advierte a lo largo de las </w:t>
      </w:r>
      <w:proofErr w:type="spellStart"/>
      <w:r>
        <w:t>auditorias</w:t>
      </w:r>
      <w:proofErr w:type="spellEnd"/>
      <w:r>
        <w:t xml:space="preserve"> realizadas por el Honorable Tribunal de Cuentas, y que giran en torno a los ejercicios presupuestarios de los años 2012, 2013 y 2014, en donde se detectó que hubo contrataciones y adquisiciones vinculadas con la obra pública que merecieron observaciones, ya sea por compra de material, alquiler de máquinas, etc. Es decir, siempre se detectaron, por lo menos, desprolijidades, y que pese a las observaciones formuladas por el Ente de Contralor, se reincidían en las mismas. Es decir, nunca hubo apego a cumplir con las normas mínimas de contralor, prolijidad y transparencia en el manejo de los fondos públicos municipales.-</w:t>
      </w:r>
    </w:p>
    <w:p w:rsidR="00160032" w:rsidRDefault="00160032" w:rsidP="00160032">
      <w:pPr>
        <w:ind w:left="540"/>
        <w:jc w:val="both"/>
      </w:pPr>
    </w:p>
    <w:p w:rsidR="00160032" w:rsidRDefault="00160032" w:rsidP="00160032">
      <w:pPr>
        <w:ind w:left="540"/>
        <w:jc w:val="both"/>
      </w:pPr>
      <w:r>
        <w:t xml:space="preserve"> </w:t>
      </w:r>
      <w:r>
        <w:tab/>
      </w:r>
      <w:r>
        <w:tab/>
      </w:r>
      <w:r>
        <w:tab/>
      </w:r>
      <w:r>
        <w:tab/>
        <w:t xml:space="preserve">Hay observaciones groseras efectuadas por los Auditores, como el de no haber establecido la forma de recupero de cuotas mensuales de viviendas construidas, y con un plazo de 50 años, que lógicamente  la Municipalidad de </w:t>
      </w:r>
      <w:proofErr w:type="spellStart"/>
      <w:r>
        <w:t>Chajarí</w:t>
      </w:r>
      <w:proofErr w:type="spellEnd"/>
      <w:r>
        <w:t xml:space="preserve"> debía establecer. A ello corresponde sumar que se detectaron, por parte del Honorable Tribunal de Cuentas sobreprecios en la contratación de una retroexcavadora que oscilaban entre un 45% a 50% del precio de mercado. Al formularse el interrogatorio al Prof. </w:t>
      </w:r>
      <w:proofErr w:type="spellStart"/>
      <w:r>
        <w:t>Panozzo</w:t>
      </w:r>
      <w:proofErr w:type="spellEnd"/>
      <w:r>
        <w:t xml:space="preserve"> sobre estas irregularidades y/o desprolijidades, como ya se señalara, la respuesta era un largo discurso, pero nunca una respuesta concreta.-</w:t>
      </w:r>
    </w:p>
    <w:p w:rsidR="00160032" w:rsidRDefault="00160032" w:rsidP="00160032">
      <w:pPr>
        <w:ind w:left="540"/>
        <w:jc w:val="both"/>
      </w:pPr>
    </w:p>
    <w:p w:rsidR="00160032" w:rsidRDefault="00160032" w:rsidP="00160032">
      <w:pPr>
        <w:ind w:left="540"/>
        <w:jc w:val="both"/>
      </w:pPr>
      <w:r>
        <w:t xml:space="preserve"> </w:t>
      </w:r>
      <w:r>
        <w:tab/>
      </w:r>
      <w:r>
        <w:tab/>
      </w:r>
      <w:r>
        <w:tab/>
      </w:r>
      <w:r>
        <w:tab/>
        <w:t xml:space="preserve">Una de las cuestiones más emblemáticas que se pudo lograr, a través de la información suministrada por el Honorable Tribunal de Cuentas con respecto al ejercicio presupuestario del año 2014, radica en que se habrían detectado numerosos casos, donde la fecha de solicitud de provisión, la orden de compra y la facturación del proveedor son coincidentes, e incluso en algún caso la solicitud de provisión es posterior a la fecha de compra. Esto no mereció ninguna explicación concreta y creíble de parte de </w:t>
      </w:r>
      <w:proofErr w:type="spellStart"/>
      <w:r>
        <w:t>Panozzo</w:t>
      </w:r>
      <w:proofErr w:type="spellEnd"/>
      <w:r>
        <w:t xml:space="preserve"> en la audiencia pública.-</w:t>
      </w:r>
    </w:p>
    <w:p w:rsidR="00160032" w:rsidRDefault="00160032" w:rsidP="00160032">
      <w:pPr>
        <w:ind w:left="540"/>
        <w:jc w:val="both"/>
      </w:pPr>
    </w:p>
    <w:p w:rsidR="00160032" w:rsidRDefault="00160032" w:rsidP="00160032">
      <w:pPr>
        <w:ind w:left="540"/>
        <w:jc w:val="both"/>
      </w:pPr>
      <w:r>
        <w:t xml:space="preserve"> </w:t>
      </w:r>
      <w:r>
        <w:tab/>
      </w:r>
      <w:r>
        <w:tab/>
      </w:r>
      <w:r>
        <w:tab/>
      </w:r>
      <w:r>
        <w:tab/>
        <w:t xml:space="preserve">Las irregularidades detectadas en la administración de la Municipalidad de </w:t>
      </w:r>
      <w:proofErr w:type="spellStart"/>
      <w:r>
        <w:t>Chajarí</w:t>
      </w:r>
      <w:proofErr w:type="spellEnd"/>
      <w:r>
        <w:t xml:space="preserve">, desempeñándose como Intendente de la misma el Prof. </w:t>
      </w:r>
      <w:proofErr w:type="spellStart"/>
      <w:r>
        <w:t>Panozzo</w:t>
      </w:r>
      <w:proofErr w:type="spellEnd"/>
      <w:r>
        <w:t xml:space="preserve">, son numerosas, y todas importantes, emergiendo algunas que no se puede soslayar, como es el caso detectado por la Auditoria del Tribunal de Cuentas,  donde se </w:t>
      </w:r>
      <w:r>
        <w:lastRenderedPageBreak/>
        <w:t>puso de manifiesto que en la ejecución del presupuesto del año 2014 se procedió a relevar las horas abonadas por máquinas viales contratadas mediante las distintas adjudicaciones, tomando el valor promedio de aproximadamente $530.- la hora, resultó que se habrían abonado un total de 17.884 horas máquinas al año, o sea a razón de unas 46 horas diarias de trabajos de dos máquinas viales durante los 365 días del año mencionado, lo cual es total y absolutamente imposible, máxime que ello debería haber implicado un importante movimiento de tierra, y no aparecen contratados vehículos de traslado de esa tierra (camiones). Incluso se advierten siempre sobreprecios en todas las contrataciones, tomándose como parámetro lo que en la misma época abonó la Municipalidad de Paraná.-</w:t>
      </w:r>
    </w:p>
    <w:p w:rsidR="00160032" w:rsidRDefault="00160032" w:rsidP="00160032">
      <w:pPr>
        <w:ind w:left="540"/>
        <w:jc w:val="both"/>
      </w:pPr>
      <w:r>
        <w:t xml:space="preserve"> </w:t>
      </w:r>
    </w:p>
    <w:p w:rsidR="00160032" w:rsidRDefault="00160032" w:rsidP="00160032">
      <w:pPr>
        <w:ind w:left="540"/>
        <w:jc w:val="both"/>
      </w:pPr>
      <w:r>
        <w:t xml:space="preserve"> </w:t>
      </w:r>
      <w:r>
        <w:tab/>
      </w:r>
      <w:r>
        <w:tab/>
      </w:r>
      <w:r>
        <w:tab/>
      </w:r>
      <w:r>
        <w:tab/>
        <w:t xml:space="preserve">Lo señalado precedentemente </w:t>
      </w:r>
      <w:proofErr w:type="spellStart"/>
      <w:r>
        <w:t>esta</w:t>
      </w:r>
      <w:proofErr w:type="spellEnd"/>
      <w:r>
        <w:t xml:space="preserve"> lejos de ser todo lo que se ha detectado, por el Honorable Tribunal de Cuentas, en las auditorías realizadas en la Municipalidad de </w:t>
      </w:r>
      <w:proofErr w:type="spellStart"/>
      <w:r>
        <w:t>Chajarí</w:t>
      </w:r>
      <w:proofErr w:type="spellEnd"/>
      <w:r>
        <w:t xml:space="preserve">, correspondientes a los ejercicios de los años 2012, 2013 y 2014, periodos en los cuales la Intendencia Municipal estaba a cargo del Prof. José Luís </w:t>
      </w:r>
      <w:proofErr w:type="spellStart"/>
      <w:r>
        <w:t>Panozzo</w:t>
      </w:r>
      <w:proofErr w:type="spellEnd"/>
      <w:r>
        <w:t xml:space="preserve">. No se abre juicio sobre el ejercicio correspondiente al año 2015, porque la auditoria, por parte el Honorable Tribunal de Cuentas no </w:t>
      </w:r>
      <w:proofErr w:type="spellStart"/>
      <w:r>
        <w:t>esta</w:t>
      </w:r>
      <w:proofErr w:type="spellEnd"/>
      <w:r>
        <w:t xml:space="preserve"> concluida.-</w:t>
      </w:r>
    </w:p>
    <w:p w:rsidR="00160032" w:rsidRDefault="00160032" w:rsidP="00160032">
      <w:pPr>
        <w:ind w:left="540"/>
        <w:jc w:val="both"/>
      </w:pPr>
    </w:p>
    <w:p w:rsidR="00160032" w:rsidRDefault="00160032" w:rsidP="00160032">
      <w:pPr>
        <w:ind w:left="540"/>
        <w:jc w:val="both"/>
      </w:pPr>
      <w:r>
        <w:t xml:space="preserve"> </w:t>
      </w:r>
      <w:r>
        <w:tab/>
      </w:r>
      <w:r>
        <w:tab/>
      </w:r>
      <w:r>
        <w:tab/>
      </w:r>
      <w:r>
        <w:tab/>
        <w:t xml:space="preserve">Ahora, tampoco puede pasar por alto lo expuesto por el Prof. José Luís </w:t>
      </w:r>
      <w:proofErr w:type="spellStart"/>
      <w:r>
        <w:t>Panozzo</w:t>
      </w:r>
      <w:proofErr w:type="spellEnd"/>
      <w:r>
        <w:t xml:space="preserve"> en la audiencia pública celebrada el 18 de mayo del corriente año. En esa audiencia se lo interrogó sobre estas cuestiones de irregularidad detectadas por el Honorable Tribunal de Cuentas, y las respuestas del mismo siempre terminaron siendo un largo discurso, tratando de diluir o evitar una respuesta concreta, pero lo más grave fue que en un terminado momento, y frente al hecho de haberle puesto de manifiesto todas estas situaciones de irregularidad, el mismo dejó sentado que no le daba importancia a las advertencias del Honorable Tribunal de Cuentas, e incluso, directamente las ignoraba, a tal punto que de tener una nueva oportunidad para gestionar la Municipalidad de </w:t>
      </w:r>
      <w:proofErr w:type="spellStart"/>
      <w:r>
        <w:t>Chajarí</w:t>
      </w:r>
      <w:proofErr w:type="spellEnd"/>
      <w:r>
        <w:t>, encausaría su nueva gestión de la misma manera, dejando en claro que no le importaba violar las exigencias legales y técnicas a las que debe estar sometida la administración municipal, especialmente como lo establece y requiere el Órgano de Control, que es justamente el Tribunal de Cuentas.-</w:t>
      </w:r>
    </w:p>
    <w:p w:rsidR="00160032" w:rsidRDefault="00160032" w:rsidP="00160032">
      <w:pPr>
        <w:ind w:left="540"/>
        <w:jc w:val="both"/>
      </w:pPr>
    </w:p>
    <w:p w:rsidR="00160032" w:rsidRDefault="00160032" w:rsidP="00160032">
      <w:pPr>
        <w:ind w:left="540"/>
        <w:jc w:val="both"/>
      </w:pPr>
      <w:r>
        <w:t xml:space="preserve"> </w:t>
      </w:r>
      <w:r>
        <w:tab/>
      </w:r>
      <w:r>
        <w:tab/>
      </w:r>
      <w:r>
        <w:tab/>
      </w:r>
      <w:r>
        <w:tab/>
        <w:t xml:space="preserve">No hay dudas que lo expuesto precedentemente es más que suficiente para dictaminar a </w:t>
      </w:r>
      <w:r>
        <w:rPr>
          <w:b/>
        </w:rPr>
        <w:t>favor del rechazo</w:t>
      </w:r>
      <w:r>
        <w:t xml:space="preserve"> del acuerdo para que el Prof. José Luís </w:t>
      </w:r>
      <w:proofErr w:type="spellStart"/>
      <w:r>
        <w:t>Panozzo</w:t>
      </w:r>
      <w:proofErr w:type="spellEnd"/>
      <w:r>
        <w:t xml:space="preserve"> asuma legal y legítimamente la Presidencia del Consejo General de Educación de la Provincia de Entre Ríos, ya que no tiene la idoneidad suficiente y necesaria para el cargo. No hay dudas que el respecto por las normativas legales, por los requerimientos </w:t>
      </w:r>
      <w:r>
        <w:lastRenderedPageBreak/>
        <w:t>de los órganos de contralor, por la transparencia misma en la gestión, sin dejar de señalar que no deben existir sospechas en el manejo claro de los bienes y recursos del Estado, constituyen una condición ineludible para ocupar un cargo de tanta importancia y relevancia, como es la Presidencia del Consejo General de Educación de la Provincia de Entre Ríos.-</w:t>
      </w:r>
    </w:p>
    <w:p w:rsidR="00160032" w:rsidRDefault="00160032" w:rsidP="00160032">
      <w:pPr>
        <w:ind w:left="540"/>
        <w:jc w:val="both"/>
      </w:pPr>
    </w:p>
    <w:p w:rsidR="00160032" w:rsidRDefault="00160032" w:rsidP="00160032">
      <w:pPr>
        <w:ind w:left="540"/>
        <w:jc w:val="both"/>
      </w:pPr>
    </w:p>
    <w:p w:rsidR="00160032" w:rsidRDefault="00160032" w:rsidP="00160032">
      <w:pPr>
        <w:ind w:left="540"/>
        <w:jc w:val="both"/>
      </w:pPr>
      <w:r>
        <w:rPr>
          <w:b/>
        </w:rPr>
        <w:t>POR ELLO</w:t>
      </w:r>
      <w:r>
        <w:t xml:space="preserve">; </w:t>
      </w:r>
    </w:p>
    <w:p w:rsidR="00160032" w:rsidRDefault="00160032" w:rsidP="00160032">
      <w:pPr>
        <w:ind w:left="540"/>
        <w:jc w:val="both"/>
      </w:pPr>
    </w:p>
    <w:p w:rsidR="00160032" w:rsidRDefault="00160032" w:rsidP="00160032">
      <w:pPr>
        <w:ind w:left="540"/>
        <w:jc w:val="both"/>
      </w:pPr>
    </w:p>
    <w:p w:rsidR="00160032" w:rsidRDefault="00160032" w:rsidP="00160032">
      <w:pPr>
        <w:ind w:left="540"/>
        <w:jc w:val="both"/>
      </w:pPr>
    </w:p>
    <w:p w:rsidR="00160032" w:rsidRDefault="00160032" w:rsidP="00160032">
      <w:pPr>
        <w:ind w:left="540"/>
        <w:jc w:val="both"/>
      </w:pPr>
    </w:p>
    <w:p w:rsidR="00160032" w:rsidRDefault="00160032" w:rsidP="00160032">
      <w:pPr>
        <w:ind w:left="540"/>
        <w:jc w:val="center"/>
        <w:rPr>
          <w:b/>
          <w:sz w:val="28"/>
        </w:rPr>
      </w:pPr>
      <w:r>
        <w:rPr>
          <w:b/>
          <w:sz w:val="28"/>
        </w:rPr>
        <w:t xml:space="preserve">LA HONORABLE CÁMARA DE SENADORES </w:t>
      </w:r>
    </w:p>
    <w:p w:rsidR="00160032" w:rsidRDefault="00160032" w:rsidP="00160032">
      <w:pPr>
        <w:ind w:left="540"/>
        <w:jc w:val="center"/>
        <w:rPr>
          <w:b/>
          <w:sz w:val="28"/>
        </w:rPr>
      </w:pPr>
    </w:p>
    <w:p w:rsidR="00160032" w:rsidRDefault="00160032" w:rsidP="00160032">
      <w:pPr>
        <w:ind w:left="540"/>
        <w:jc w:val="center"/>
        <w:rPr>
          <w:b/>
          <w:sz w:val="28"/>
        </w:rPr>
      </w:pPr>
      <w:r>
        <w:rPr>
          <w:b/>
          <w:sz w:val="28"/>
        </w:rPr>
        <w:t>DE LA PROVINCIA DE ENTRE RÍOS</w:t>
      </w:r>
    </w:p>
    <w:p w:rsidR="00160032" w:rsidRDefault="00160032" w:rsidP="00160032">
      <w:pPr>
        <w:ind w:left="540"/>
        <w:jc w:val="center"/>
        <w:rPr>
          <w:b/>
          <w:sz w:val="28"/>
        </w:rPr>
      </w:pPr>
    </w:p>
    <w:p w:rsidR="00160032" w:rsidRDefault="00160032" w:rsidP="00160032">
      <w:pPr>
        <w:ind w:left="540"/>
        <w:jc w:val="center"/>
        <w:rPr>
          <w:b/>
          <w:sz w:val="28"/>
        </w:rPr>
      </w:pPr>
      <w:r>
        <w:rPr>
          <w:b/>
          <w:sz w:val="28"/>
        </w:rPr>
        <w:t>R E S U E L V E</w:t>
      </w:r>
    </w:p>
    <w:p w:rsidR="00160032" w:rsidRDefault="00160032" w:rsidP="00160032">
      <w:pPr>
        <w:ind w:left="540"/>
        <w:jc w:val="both"/>
        <w:rPr>
          <w:sz w:val="28"/>
        </w:rPr>
      </w:pPr>
    </w:p>
    <w:p w:rsidR="00160032" w:rsidRDefault="00160032" w:rsidP="00160032">
      <w:pPr>
        <w:ind w:left="540"/>
        <w:jc w:val="both"/>
        <w:rPr>
          <w:sz w:val="28"/>
        </w:rPr>
      </w:pPr>
      <w:r>
        <w:rPr>
          <w:b/>
          <w:sz w:val="28"/>
        </w:rPr>
        <w:t>ARTÍCULO 1°</w:t>
      </w:r>
      <w:r>
        <w:rPr>
          <w:sz w:val="28"/>
        </w:rPr>
        <w:t xml:space="preserve">: </w:t>
      </w:r>
      <w:r>
        <w:rPr>
          <w:b/>
          <w:sz w:val="28"/>
        </w:rPr>
        <w:t>No prestar</w:t>
      </w:r>
      <w:r>
        <w:rPr>
          <w:sz w:val="28"/>
        </w:rPr>
        <w:t xml:space="preserve"> el Acuerdo Constitucional, solicitado por el Poder Ejecutivo, para nombrar Director General de Escuelas de la Provincia de entre Ríos, al Prof. </w:t>
      </w:r>
      <w:r>
        <w:rPr>
          <w:b/>
          <w:sz w:val="28"/>
        </w:rPr>
        <w:t xml:space="preserve">JOSÉ LUIS PANOZZO, </w:t>
      </w:r>
      <w:r>
        <w:rPr>
          <w:sz w:val="28"/>
        </w:rPr>
        <w:t>D.N.I. N: 22.246282, Clase 1.971.-</w:t>
      </w:r>
    </w:p>
    <w:p w:rsidR="00160032" w:rsidRDefault="00160032" w:rsidP="00160032">
      <w:pPr>
        <w:ind w:left="540"/>
        <w:jc w:val="both"/>
        <w:rPr>
          <w:sz w:val="28"/>
        </w:rPr>
      </w:pPr>
    </w:p>
    <w:p w:rsidR="00160032" w:rsidRDefault="00160032" w:rsidP="00160032">
      <w:pPr>
        <w:ind w:left="540"/>
        <w:jc w:val="both"/>
        <w:rPr>
          <w:sz w:val="28"/>
        </w:rPr>
      </w:pPr>
      <w:r>
        <w:rPr>
          <w:b/>
          <w:sz w:val="28"/>
        </w:rPr>
        <w:t>ARTÍCULO 2°:</w:t>
      </w:r>
      <w:r>
        <w:rPr>
          <w:sz w:val="28"/>
        </w:rPr>
        <w:t xml:space="preserve"> Comuníquese, etc.-</w:t>
      </w:r>
    </w:p>
    <w:p w:rsidR="00160032" w:rsidRDefault="00160032" w:rsidP="00160032">
      <w:pPr>
        <w:ind w:left="540"/>
        <w:jc w:val="both"/>
      </w:pPr>
    </w:p>
    <w:p w:rsidR="00160032" w:rsidRDefault="00160032" w:rsidP="00160032">
      <w:pPr>
        <w:ind w:left="540"/>
        <w:jc w:val="both"/>
      </w:pPr>
    </w:p>
    <w:p w:rsidR="00160032" w:rsidRDefault="00160032" w:rsidP="00160032">
      <w:pPr>
        <w:ind w:left="540"/>
        <w:jc w:val="right"/>
      </w:pPr>
      <w:r>
        <w:lastRenderedPageBreak/>
        <w:tab/>
      </w:r>
      <w:r>
        <w:tab/>
      </w:r>
      <w:r>
        <w:tab/>
      </w:r>
      <w:r>
        <w:tab/>
      </w:r>
      <w:r>
        <w:rPr>
          <w:b/>
        </w:rPr>
        <w:t>PARANÁ, Sala de Comisiones, 29 de junio de 2016</w:t>
      </w:r>
      <w:r>
        <w:t>.-</w:t>
      </w:r>
    </w:p>
    <w:p w:rsidR="00160032" w:rsidRDefault="00160032" w:rsidP="00160032">
      <w:pPr>
        <w:ind w:left="540"/>
        <w:jc w:val="both"/>
      </w:pPr>
    </w:p>
    <w:p w:rsidR="00160032" w:rsidRDefault="00160032" w:rsidP="00160032">
      <w:pPr>
        <w:ind w:left="540"/>
        <w:jc w:val="both"/>
      </w:pPr>
    </w:p>
    <w:p w:rsidR="00160032" w:rsidRDefault="00160032" w:rsidP="00160032">
      <w:pPr>
        <w:ind w:left="540"/>
        <w:jc w:val="both"/>
      </w:pPr>
      <w:r>
        <w:rPr>
          <w:b/>
        </w:rPr>
        <w:t>FERRARI</w:t>
      </w:r>
      <w:r>
        <w:t>, ROQUE</w:t>
      </w:r>
    </w:p>
    <w:p w:rsidR="00160032" w:rsidRDefault="00160032" w:rsidP="00160032">
      <w:pPr>
        <w:ind w:left="540"/>
        <w:jc w:val="both"/>
      </w:pPr>
    </w:p>
    <w:p w:rsidR="00160032" w:rsidRDefault="00160032" w:rsidP="00160032">
      <w:pPr>
        <w:ind w:left="540"/>
        <w:jc w:val="both"/>
      </w:pPr>
    </w:p>
    <w:p w:rsidR="00160032" w:rsidRDefault="00160032" w:rsidP="00160032">
      <w:pPr>
        <w:ind w:left="540"/>
        <w:jc w:val="both"/>
      </w:pPr>
      <w:r>
        <w:rPr>
          <w:b/>
        </w:rPr>
        <w:t>SCHILD</w:t>
      </w:r>
      <w:r>
        <w:t>, ROGELIO</w:t>
      </w:r>
    </w:p>
    <w:p w:rsidR="00160032" w:rsidRDefault="00160032" w:rsidP="00160032">
      <w:pPr>
        <w:ind w:left="540"/>
        <w:jc w:val="both"/>
      </w:pPr>
    </w:p>
    <w:p w:rsidR="00160032" w:rsidRDefault="00160032" w:rsidP="00160032">
      <w:pPr>
        <w:ind w:left="540"/>
        <w:jc w:val="both"/>
      </w:pPr>
    </w:p>
    <w:p w:rsidR="00160032" w:rsidRDefault="00160032" w:rsidP="00160032">
      <w:pPr>
        <w:ind w:left="540"/>
        <w:jc w:val="both"/>
      </w:pPr>
      <w:r>
        <w:rPr>
          <w:b/>
        </w:rPr>
        <w:t>KISSER</w:t>
      </w:r>
      <w:r>
        <w:t>, RAYMUNDO</w:t>
      </w:r>
    </w:p>
    <w:p w:rsidR="00090198" w:rsidRDefault="00090198">
      <w:pPr>
        <w:pStyle w:val="normal0"/>
        <w:jc w:val="both"/>
      </w:pPr>
    </w:p>
    <w:sectPr w:rsidR="00090198" w:rsidSect="00090198">
      <w:pgSz w:w="12240" w:h="15840"/>
      <w:pgMar w:top="2694" w:right="1464" w:bottom="1417" w:left="241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hyphenationZone w:val="425"/>
  <w:characterSpacingControl w:val="doNotCompress"/>
  <w:compat/>
  <w:rsids>
    <w:rsidRoot w:val="00090198"/>
    <w:rsid w:val="00090198"/>
    <w:rsid w:val="00151AFA"/>
    <w:rsid w:val="0016003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color w:val="000000"/>
        <w:sz w:val="22"/>
        <w:szCs w:val="22"/>
        <w:lang w:val="es-ES" w:eastAsia="es-E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rsid w:val="00090198"/>
    <w:pPr>
      <w:keepNext/>
      <w:keepLines/>
      <w:spacing w:before="480" w:after="120"/>
      <w:contextualSpacing/>
      <w:outlineLvl w:val="0"/>
    </w:pPr>
    <w:rPr>
      <w:b/>
      <w:sz w:val="48"/>
      <w:szCs w:val="48"/>
    </w:rPr>
  </w:style>
  <w:style w:type="paragraph" w:styleId="Ttulo2">
    <w:name w:val="heading 2"/>
    <w:basedOn w:val="normal0"/>
    <w:next w:val="normal0"/>
    <w:rsid w:val="00090198"/>
    <w:pPr>
      <w:keepNext/>
      <w:keepLines/>
      <w:spacing w:before="360" w:after="80"/>
      <w:contextualSpacing/>
      <w:outlineLvl w:val="1"/>
    </w:pPr>
    <w:rPr>
      <w:b/>
      <w:sz w:val="36"/>
      <w:szCs w:val="36"/>
    </w:rPr>
  </w:style>
  <w:style w:type="paragraph" w:styleId="Ttulo3">
    <w:name w:val="heading 3"/>
    <w:basedOn w:val="normal0"/>
    <w:next w:val="normal0"/>
    <w:rsid w:val="00090198"/>
    <w:pPr>
      <w:keepNext/>
      <w:keepLines/>
      <w:spacing w:before="280" w:after="80"/>
      <w:contextualSpacing/>
      <w:outlineLvl w:val="2"/>
    </w:pPr>
    <w:rPr>
      <w:b/>
      <w:sz w:val="28"/>
      <w:szCs w:val="28"/>
    </w:rPr>
  </w:style>
  <w:style w:type="paragraph" w:styleId="Ttulo4">
    <w:name w:val="heading 4"/>
    <w:basedOn w:val="normal0"/>
    <w:next w:val="normal0"/>
    <w:rsid w:val="00090198"/>
    <w:pPr>
      <w:keepNext/>
      <w:keepLines/>
      <w:spacing w:before="240" w:after="40"/>
      <w:contextualSpacing/>
      <w:outlineLvl w:val="3"/>
    </w:pPr>
    <w:rPr>
      <w:b/>
      <w:sz w:val="24"/>
      <w:szCs w:val="24"/>
    </w:rPr>
  </w:style>
  <w:style w:type="paragraph" w:styleId="Ttulo5">
    <w:name w:val="heading 5"/>
    <w:basedOn w:val="normal0"/>
    <w:next w:val="normal0"/>
    <w:rsid w:val="00090198"/>
    <w:pPr>
      <w:keepNext/>
      <w:keepLines/>
      <w:spacing w:before="220" w:after="40"/>
      <w:contextualSpacing/>
      <w:outlineLvl w:val="4"/>
    </w:pPr>
    <w:rPr>
      <w:b/>
    </w:rPr>
  </w:style>
  <w:style w:type="paragraph" w:styleId="Ttulo6">
    <w:name w:val="heading 6"/>
    <w:basedOn w:val="normal0"/>
    <w:next w:val="normal0"/>
    <w:rsid w:val="00090198"/>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090198"/>
  </w:style>
  <w:style w:type="table" w:customStyle="1" w:styleId="TableNormal">
    <w:name w:val="Table Normal"/>
    <w:rsid w:val="00090198"/>
    <w:tblPr>
      <w:tblCellMar>
        <w:top w:w="0" w:type="dxa"/>
        <w:left w:w="0" w:type="dxa"/>
        <w:bottom w:w="0" w:type="dxa"/>
        <w:right w:w="0" w:type="dxa"/>
      </w:tblCellMar>
    </w:tblPr>
  </w:style>
  <w:style w:type="paragraph" w:styleId="Ttulo">
    <w:name w:val="Title"/>
    <w:basedOn w:val="normal0"/>
    <w:next w:val="normal0"/>
    <w:rsid w:val="00090198"/>
    <w:pPr>
      <w:keepNext/>
      <w:keepLines/>
      <w:spacing w:before="480" w:after="120"/>
      <w:contextualSpacing/>
    </w:pPr>
    <w:rPr>
      <w:b/>
      <w:sz w:val="72"/>
      <w:szCs w:val="72"/>
    </w:rPr>
  </w:style>
  <w:style w:type="paragraph" w:styleId="Subttulo">
    <w:name w:val="Subtitle"/>
    <w:basedOn w:val="normal0"/>
    <w:next w:val="normal0"/>
    <w:rsid w:val="00090198"/>
    <w:pPr>
      <w:keepNext/>
      <w:keepLines/>
      <w:spacing w:before="360" w:after="80"/>
      <w:contextualSpacing/>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4752</Words>
  <Characters>26137</Characters>
  <Application>Microsoft Office Word</Application>
  <DocSecurity>0</DocSecurity>
  <Lines>217</Lines>
  <Paragraphs>61</Paragraphs>
  <ScaleCrop>false</ScaleCrop>
  <Company/>
  <LinksUpToDate>false</LinksUpToDate>
  <CharactersWithSpaces>30828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2016-08-05T14:05:00Z</dcterms:created>
  <dcterms:modified xsi:type="dcterms:W3CDTF">2016-08-05T14:05:00Z</dcterms:modified>
</cp:coreProperties>
</file>