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EB739C" w:rsidRPr="00792F3C" w:rsidRDefault="009E42ED" w:rsidP="00EB739C">
      <w:pPr>
        <w:jc w:val="both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/>
          <w:u w:val="single"/>
        </w:rPr>
        <w:t>ART</w:t>
      </w:r>
      <w:r w:rsidR="008343F2">
        <w:rPr>
          <w:rFonts w:ascii="Arial" w:hAnsi="Arial" w:cs="Arial"/>
          <w:b/>
          <w:u w:val="single"/>
        </w:rPr>
        <w:t>Í</w:t>
      </w:r>
      <w:r>
        <w:rPr>
          <w:rFonts w:ascii="Arial" w:hAnsi="Arial" w:cs="Arial"/>
          <w:b/>
          <w:u w:val="single"/>
        </w:rPr>
        <w:t>CULO 1°.-</w:t>
      </w:r>
      <w:r>
        <w:rPr>
          <w:rFonts w:ascii="Arial" w:hAnsi="Arial" w:cs="Arial"/>
          <w:bCs/>
        </w:rPr>
        <w:t xml:space="preserve"> </w:t>
      </w:r>
      <w:r w:rsidR="00EB739C" w:rsidRPr="00792F3C">
        <w:rPr>
          <w:rFonts w:ascii="Arial" w:hAnsi="Arial" w:cs="Arial"/>
          <w:bCs/>
          <w:snapToGrid w:val="0"/>
        </w:rPr>
        <w:t>Los establecimientos que posean balanzas para camiones dentro de sus instalaciones, deben colocar en lugares visibles y de fácil acceso sus indicadores de peso.</w:t>
      </w:r>
    </w:p>
    <w:p w:rsidR="00EB739C" w:rsidRPr="00792F3C" w:rsidRDefault="00EB739C" w:rsidP="00EB739C">
      <w:pPr>
        <w:jc w:val="both"/>
        <w:rPr>
          <w:rFonts w:ascii="Arial" w:hAnsi="Arial" w:cs="Arial"/>
          <w:bCs/>
          <w:snapToGrid w:val="0"/>
        </w:rPr>
      </w:pPr>
    </w:p>
    <w:p w:rsidR="00EB739C" w:rsidRPr="00792F3C" w:rsidRDefault="00792F3C" w:rsidP="00EB739C">
      <w:pPr>
        <w:jc w:val="both"/>
        <w:rPr>
          <w:rFonts w:ascii="Arial" w:hAnsi="Arial" w:cs="Arial"/>
          <w:bCs/>
          <w:snapToGrid w:val="0"/>
        </w:rPr>
      </w:pPr>
      <w:r w:rsidRPr="00792F3C">
        <w:rPr>
          <w:rFonts w:ascii="Arial" w:hAnsi="Arial" w:cs="Arial"/>
          <w:b/>
          <w:bCs/>
          <w:snapToGrid w:val="0"/>
          <w:u w:val="single"/>
          <w:lang w:val="es-MX"/>
        </w:rPr>
        <w:t xml:space="preserve">ARTÍCULO </w:t>
      </w:r>
      <w:r>
        <w:rPr>
          <w:rFonts w:ascii="Arial" w:hAnsi="Arial" w:cs="Arial"/>
          <w:b/>
          <w:bCs/>
          <w:snapToGrid w:val="0"/>
          <w:u w:val="single"/>
          <w:lang w:val="es-MX"/>
        </w:rPr>
        <w:t>2</w:t>
      </w:r>
      <w:r w:rsidRPr="00792F3C">
        <w:rPr>
          <w:rFonts w:ascii="Arial" w:hAnsi="Arial" w:cs="Arial"/>
          <w:b/>
          <w:bCs/>
          <w:snapToGrid w:val="0"/>
          <w:u w:val="single"/>
          <w:lang w:val="es-MX"/>
        </w:rPr>
        <w:t>°.-</w:t>
      </w:r>
      <w:r w:rsidRPr="00792F3C">
        <w:rPr>
          <w:rFonts w:ascii="Arial" w:hAnsi="Arial" w:cs="Arial"/>
          <w:b/>
          <w:bCs/>
          <w:snapToGrid w:val="0"/>
          <w:lang w:val="es-MX"/>
        </w:rPr>
        <w:t xml:space="preserve"> </w:t>
      </w:r>
      <w:r w:rsidR="00EB739C" w:rsidRPr="00792F3C">
        <w:rPr>
          <w:rFonts w:ascii="Arial" w:hAnsi="Arial" w:cs="Arial"/>
          <w:bCs/>
          <w:snapToGrid w:val="0"/>
        </w:rPr>
        <w:t>Los establecimientos alcanzados por el Artículo 1</w:t>
      </w:r>
      <w:r>
        <w:rPr>
          <w:rFonts w:ascii="Arial" w:hAnsi="Arial" w:cs="Arial"/>
          <w:bCs/>
          <w:snapToGrid w:val="0"/>
        </w:rPr>
        <w:t>º</w:t>
      </w:r>
      <w:r w:rsidR="00EB739C" w:rsidRPr="00792F3C">
        <w:rPr>
          <w:rFonts w:ascii="Arial" w:hAnsi="Arial" w:cs="Arial"/>
          <w:bCs/>
          <w:snapToGrid w:val="0"/>
        </w:rPr>
        <w:t xml:space="preserve"> de la presente </w:t>
      </w:r>
      <w:r w:rsidR="003921F1">
        <w:rPr>
          <w:rFonts w:ascii="Arial" w:hAnsi="Arial" w:cs="Arial"/>
          <w:bCs/>
          <w:snapToGrid w:val="0"/>
        </w:rPr>
        <w:t>l</w:t>
      </w:r>
      <w:r w:rsidR="00EB739C" w:rsidRPr="00792F3C">
        <w:rPr>
          <w:rFonts w:ascii="Arial" w:hAnsi="Arial" w:cs="Arial"/>
          <w:bCs/>
          <w:snapToGrid w:val="0"/>
        </w:rPr>
        <w:t>ey deben ubicar en lugares visibles letreros con una leyenda que permita a los conductores de los camiones a realizar el control de su carga de manera directa desde los indicadores de peso.</w:t>
      </w:r>
    </w:p>
    <w:p w:rsidR="00EB739C" w:rsidRPr="00792F3C" w:rsidRDefault="00EB739C" w:rsidP="00EB739C">
      <w:pPr>
        <w:jc w:val="both"/>
        <w:rPr>
          <w:rFonts w:ascii="Arial" w:hAnsi="Arial" w:cs="Arial"/>
          <w:bCs/>
          <w:snapToGrid w:val="0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ARTICULO </w:t>
      </w:r>
      <w:r w:rsidR="00792F3C">
        <w:rPr>
          <w:rFonts w:ascii="Arial" w:hAnsi="Arial"/>
          <w:b/>
          <w:u w:val="single"/>
        </w:rPr>
        <w:t>3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3921F1">
        <w:t>18 de mayo de 2017</w:t>
      </w:r>
      <w:r>
        <w:t>.</w:t>
      </w:r>
    </w:p>
    <w:p w:rsidR="009E42ED" w:rsidRDefault="009E42ED">
      <w:pPr>
        <w:jc w:val="both"/>
        <w:rPr>
          <w:rFonts w:ascii="Arial" w:hAnsi="Arial"/>
        </w:rPr>
      </w:pPr>
    </w:p>
    <w:p w:rsidR="00E33B4D" w:rsidRDefault="00E33B4D">
      <w:pPr>
        <w:jc w:val="both"/>
        <w:rPr>
          <w:rFonts w:ascii="Arial" w:hAnsi="Arial"/>
        </w:rPr>
      </w:pPr>
    </w:p>
    <w:p w:rsidR="00E33B4D" w:rsidRDefault="00E33B4D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Adán Humberto BAHL</w:t>
      </w:r>
    </w:p>
    <w:p w:rsidR="00E33B4D" w:rsidRDefault="00E33B4D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E33B4D" w:rsidRDefault="00E33B4D">
      <w:pPr>
        <w:jc w:val="both"/>
        <w:rPr>
          <w:b/>
          <w:sz w:val="22"/>
        </w:rPr>
      </w:pPr>
    </w:p>
    <w:p w:rsidR="00E33B4D" w:rsidRDefault="00E33B4D">
      <w:pPr>
        <w:jc w:val="both"/>
        <w:rPr>
          <w:b/>
          <w:sz w:val="22"/>
        </w:rPr>
      </w:pPr>
    </w:p>
    <w:p w:rsidR="00E33B4D" w:rsidRDefault="00E33B4D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E33B4D" w:rsidRDefault="00E33B4D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E33B4D" w:rsidRDefault="00E33B4D">
      <w:pPr>
        <w:jc w:val="both"/>
        <w:rPr>
          <w:b/>
          <w:sz w:val="22"/>
        </w:rPr>
      </w:pPr>
    </w:p>
    <w:p w:rsidR="00E33B4D" w:rsidRDefault="00E33B4D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E33B4D" w:rsidRDefault="00E33B4D"/>
    <w:p w:rsidR="00E33B4D" w:rsidRDefault="00E33B4D"/>
    <w:p w:rsidR="00E33B4D" w:rsidRDefault="00E33B4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  <w:bookmarkStart w:id="0" w:name="_GoBack"/>
      <w:bookmarkEnd w:id="0"/>
    </w:p>
    <w:sectPr w:rsidR="009E42ED" w:rsidSect="007F497E">
      <w:headerReference w:type="default" r:id="rId7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DBB" w:rsidRDefault="00871DBB">
      <w:r>
        <w:separator/>
      </w:r>
    </w:p>
  </w:endnote>
  <w:endnote w:type="continuationSeparator" w:id="0">
    <w:p w:rsidR="00871DBB" w:rsidRDefault="00871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DBB" w:rsidRDefault="00871DBB">
      <w:r>
        <w:separator/>
      </w:r>
    </w:p>
  </w:footnote>
  <w:footnote w:type="continuationSeparator" w:id="0">
    <w:p w:rsidR="00871DBB" w:rsidRDefault="00871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03C5"/>
    <w:rsid w:val="0007475D"/>
    <w:rsid w:val="003921F1"/>
    <w:rsid w:val="00631419"/>
    <w:rsid w:val="00792F3C"/>
    <w:rsid w:val="007F497E"/>
    <w:rsid w:val="008343F2"/>
    <w:rsid w:val="00871DBB"/>
    <w:rsid w:val="009605D3"/>
    <w:rsid w:val="009B03C5"/>
    <w:rsid w:val="009E42ED"/>
    <w:rsid w:val="00D10447"/>
    <w:rsid w:val="00DB4528"/>
    <w:rsid w:val="00DF5EC7"/>
    <w:rsid w:val="00E33B4D"/>
    <w:rsid w:val="00EB739C"/>
    <w:rsid w:val="00FB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166DB-0089-459F-A633-D1E169AF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styleId="Textodeglobo">
    <w:name w:val="Balloon Text"/>
    <w:basedOn w:val="Normal"/>
    <w:link w:val="TextodegloboCar"/>
    <w:rsid w:val="00E33B4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E33B4D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6</cp:revision>
  <cp:lastPrinted>2017-05-19T14:22:00Z</cp:lastPrinted>
  <dcterms:created xsi:type="dcterms:W3CDTF">2017-04-26T12:16:00Z</dcterms:created>
  <dcterms:modified xsi:type="dcterms:W3CDTF">2017-05-23T12:14:00Z</dcterms:modified>
</cp:coreProperties>
</file>