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CB" w:rsidRDefault="002561CB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2561CB" w:rsidRDefault="002561CB">
      <w:pPr>
        <w:jc w:val="center"/>
        <w:rPr>
          <w:rFonts w:ascii="Arial" w:hAnsi="Arial"/>
          <w:b/>
        </w:rPr>
      </w:pPr>
    </w:p>
    <w:p w:rsidR="002561CB" w:rsidRDefault="002561C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524805" w:rsidRPr="00524805" w:rsidRDefault="002561CB" w:rsidP="00524805">
      <w:pPr>
        <w:pStyle w:val="ecxmsonormal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ARTÍCULO 1°.-</w:t>
      </w:r>
      <w:r>
        <w:rPr>
          <w:rFonts w:ascii="Arial" w:hAnsi="Arial" w:cs="Arial"/>
          <w:bCs/>
        </w:rPr>
        <w:t xml:space="preserve"> </w:t>
      </w:r>
      <w:r w:rsidR="00524805" w:rsidRPr="00524805">
        <w:rPr>
          <w:rStyle w:val="apple-converted-space"/>
          <w:rFonts w:ascii="Arial" w:hAnsi="Arial" w:cs="Arial"/>
        </w:rPr>
        <w:t xml:space="preserve">Declárase de interés provincial el manejo y control de la especie arbórea </w:t>
      </w:r>
      <w:proofErr w:type="spellStart"/>
      <w:r w:rsidR="00524805" w:rsidRPr="00524805">
        <w:rPr>
          <w:rStyle w:val="apple-converted-space"/>
          <w:rFonts w:ascii="Arial" w:hAnsi="Arial" w:cs="Arial"/>
        </w:rPr>
        <w:t>Gleditsia</w:t>
      </w:r>
      <w:proofErr w:type="spellEnd"/>
      <w:r w:rsidR="00524805" w:rsidRPr="00524805">
        <w:rPr>
          <w:rStyle w:val="apple-converted-space"/>
          <w:rFonts w:ascii="Arial" w:hAnsi="Arial" w:cs="Arial"/>
        </w:rPr>
        <w:t xml:space="preserve"> </w:t>
      </w:r>
      <w:proofErr w:type="spellStart"/>
      <w:r w:rsidR="00524805" w:rsidRPr="00524805">
        <w:rPr>
          <w:rStyle w:val="apple-converted-space"/>
          <w:rFonts w:ascii="Arial" w:hAnsi="Arial" w:cs="Arial"/>
        </w:rPr>
        <w:t>Triacanthos</w:t>
      </w:r>
      <w:proofErr w:type="spellEnd"/>
      <w:r w:rsidR="00524805" w:rsidRPr="00524805">
        <w:rPr>
          <w:rStyle w:val="apple-converted-space"/>
          <w:rFonts w:ascii="Arial" w:hAnsi="Arial" w:cs="Arial"/>
        </w:rPr>
        <w:t xml:space="preserve"> (acacia negra) y otras especies leñosas exóticas invasoras. 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2</w:t>
      </w:r>
      <w:r w:rsidRPr="00524805">
        <w:rPr>
          <w:rFonts w:ascii="Arial" w:hAnsi="Arial" w:cs="Arial"/>
          <w:b/>
          <w:bCs/>
          <w:u w:val="single"/>
          <w:lang w:val="es-MX"/>
        </w:rPr>
        <w:t>°.-</w:t>
      </w:r>
      <w:r w:rsidRPr="00524805">
        <w:rPr>
          <w:rFonts w:ascii="Arial" w:hAnsi="Arial" w:cs="Arial"/>
          <w:b/>
          <w:bCs/>
          <w:lang w:val="es-MX"/>
        </w:rPr>
        <w:t xml:space="preserve"> </w:t>
      </w:r>
      <w:r w:rsidRPr="00524805">
        <w:rPr>
          <w:rFonts w:ascii="Arial" w:hAnsi="Arial" w:cs="Arial"/>
        </w:rPr>
        <w:t>La Autoridad de Aplicación de la presente Ley será el Ministerio de Producción de la Provincia de Entre Ríos.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3</w:t>
      </w:r>
      <w:r w:rsidRPr="00524805">
        <w:rPr>
          <w:rFonts w:ascii="Arial" w:hAnsi="Arial" w:cs="Arial"/>
          <w:b/>
          <w:bCs/>
          <w:u w:val="single"/>
          <w:lang w:val="es-MX"/>
        </w:rPr>
        <w:t>°.-</w:t>
      </w:r>
      <w:r w:rsidRPr="00524805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Pr="00524805">
        <w:rPr>
          <w:rFonts w:ascii="Arial" w:hAnsi="Arial" w:cs="Arial"/>
        </w:rPr>
        <w:t>Dispónese</w:t>
      </w:r>
      <w:proofErr w:type="spellEnd"/>
      <w:r w:rsidRPr="00524805">
        <w:rPr>
          <w:rFonts w:ascii="Arial" w:hAnsi="Arial" w:cs="Arial"/>
        </w:rPr>
        <w:t xml:space="preserve"> la formación de la Comisión Provincial de Control de Especies Leñosas Exóticas Invasoras, que estará integrada por la Autoridad de Aplicación, Secretaría de Ambiente, entidades de la producción, </w:t>
      </w:r>
      <w:proofErr w:type="spellStart"/>
      <w:r w:rsidRPr="00524805">
        <w:rPr>
          <w:rFonts w:ascii="Arial" w:hAnsi="Arial" w:cs="Arial"/>
        </w:rPr>
        <w:t>ONGs</w:t>
      </w:r>
      <w:proofErr w:type="spellEnd"/>
      <w:r w:rsidRPr="00524805">
        <w:rPr>
          <w:rFonts w:ascii="Arial" w:hAnsi="Arial" w:cs="Arial"/>
        </w:rPr>
        <w:t xml:space="preserve"> relacionadas a la temática, sector científico-tecnológico, universidades con asiento en la Provincia de Entre Ríos y organismos nacionales competentes.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441189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441189">
        <w:rPr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4</w:t>
      </w:r>
      <w:r w:rsidRPr="00441189">
        <w:rPr>
          <w:rFonts w:ascii="Arial" w:hAnsi="Arial" w:cs="Arial"/>
          <w:b/>
          <w:bCs/>
          <w:u w:val="single"/>
          <w:lang w:val="es-MX"/>
        </w:rPr>
        <w:t>°.-</w:t>
      </w:r>
      <w:r w:rsidR="00524805" w:rsidRPr="00524805">
        <w:rPr>
          <w:rFonts w:ascii="Arial" w:hAnsi="Arial" w:cs="Arial"/>
        </w:rPr>
        <w:t xml:space="preserve"> Será función de la Comisión Provincial de Especies Leñosas Exóticas invasoras asesorar a la Autoridad de Aplicación en todos los asuntos referidos a la presente ley y sugerir o propiciar la adopción de medidas necesarias para el cumplimiento de sus fines.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441189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441189">
        <w:rPr>
          <w:rStyle w:val="apple-converted-space"/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Style w:val="apple-converted-space"/>
          <w:rFonts w:ascii="Arial" w:hAnsi="Arial" w:cs="Arial"/>
          <w:b/>
          <w:bCs/>
          <w:u w:val="single"/>
          <w:lang w:val="es-MX"/>
        </w:rPr>
        <w:t>5</w:t>
      </w:r>
      <w:r w:rsidRPr="00441189">
        <w:rPr>
          <w:rStyle w:val="apple-converted-space"/>
          <w:rFonts w:ascii="Arial" w:hAnsi="Arial" w:cs="Arial"/>
          <w:b/>
          <w:bCs/>
          <w:u w:val="single"/>
          <w:lang w:val="es-MX"/>
        </w:rPr>
        <w:t>°.-</w:t>
      </w:r>
      <w:r w:rsidR="00524805" w:rsidRPr="00524805">
        <w:rPr>
          <w:rStyle w:val="apple-converted-space"/>
          <w:rFonts w:ascii="Arial" w:hAnsi="Arial" w:cs="Arial"/>
        </w:rPr>
        <w:t xml:space="preserve"> La Autoridad de Aplicación deberá definir el Protocolo de Prácticas de Manejo y Control sobre la Acacia Negra y las especies leñosas exóticas invasoras, el que establecerá el plan de acción y las técnicas que en términos medioambientales y económicos cumplirán las condiciones óptimas para el alcance de los fines que establece la presente ley.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441189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441189">
        <w:rPr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6</w:t>
      </w:r>
      <w:r w:rsidRPr="00441189">
        <w:rPr>
          <w:rFonts w:ascii="Arial" w:hAnsi="Arial" w:cs="Arial"/>
          <w:b/>
          <w:bCs/>
          <w:u w:val="single"/>
          <w:lang w:val="es-MX"/>
        </w:rPr>
        <w:t>°.-</w:t>
      </w:r>
      <w:r w:rsidRPr="00441189">
        <w:rPr>
          <w:rFonts w:ascii="Arial" w:hAnsi="Arial" w:cs="Arial"/>
          <w:b/>
          <w:bCs/>
          <w:lang w:val="es-MX"/>
        </w:rPr>
        <w:t xml:space="preserve"> </w:t>
      </w:r>
      <w:r w:rsidR="00524805" w:rsidRPr="00524805">
        <w:rPr>
          <w:rFonts w:ascii="Arial" w:hAnsi="Arial" w:cs="Arial"/>
        </w:rPr>
        <w:t>La Autoridad de Aplicación deberá: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a)</w:t>
      </w:r>
      <w:r w:rsidRPr="00524805">
        <w:rPr>
          <w:rFonts w:ascii="Arial" w:hAnsi="Arial" w:cs="Arial"/>
        </w:rPr>
        <w:t xml:space="preserve"> Determinar en forma taxativa las especies leñosas exóticas invasoras que se encuentren en </w:t>
      </w:r>
      <w:smartTag w:uri="urn:schemas-microsoft-com:office:smarttags" w:element="PersonName">
        <w:smartTagPr>
          <w:attr w:name="ProductID" w:val="la Provincia."/>
        </w:smartTagPr>
        <w:r w:rsidRPr="00524805">
          <w:rPr>
            <w:rFonts w:ascii="Arial" w:hAnsi="Arial" w:cs="Arial"/>
          </w:rPr>
          <w:t>la Provincia.</w:t>
        </w:r>
      </w:smartTag>
      <w:r w:rsidRPr="00524805">
        <w:rPr>
          <w:rFonts w:ascii="Arial" w:hAnsi="Arial" w:cs="Arial"/>
        </w:rPr>
        <w:t xml:space="preserve"> 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b)</w:t>
      </w:r>
      <w:r w:rsidRPr="00524805">
        <w:rPr>
          <w:rFonts w:ascii="Arial" w:hAnsi="Arial" w:cs="Arial"/>
        </w:rPr>
        <w:t xml:space="preserve"> Establecer el Protocolo de las Prácticas de Manejo y Control sobre la Acacia Negra y las especies leñosas </w:t>
      </w:r>
      <w:r w:rsidRPr="00524805">
        <w:rPr>
          <w:rStyle w:val="apple-converted-space"/>
          <w:rFonts w:ascii="Arial" w:hAnsi="Arial" w:cs="Arial"/>
        </w:rPr>
        <w:t>exóticas invasoras</w:t>
      </w:r>
      <w:r w:rsidRPr="00524805">
        <w:rPr>
          <w:rFonts w:ascii="Arial" w:hAnsi="Arial" w:cs="Arial"/>
        </w:rPr>
        <w:t xml:space="preserve">, con el objeto de asegurar el equilibrio de los ecosistemas de nuestra </w:t>
      </w:r>
      <w:r w:rsidR="00D47E7F">
        <w:rPr>
          <w:rFonts w:ascii="Arial" w:hAnsi="Arial" w:cs="Arial"/>
        </w:rPr>
        <w:t>P</w:t>
      </w:r>
      <w:r w:rsidRPr="00524805">
        <w:rPr>
          <w:rFonts w:ascii="Arial" w:hAnsi="Arial" w:cs="Arial"/>
        </w:rPr>
        <w:t>rovincia y la sustentabilidad económica de la actividad agrícola-ganadera.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c)</w:t>
      </w:r>
      <w:r w:rsidRPr="00524805">
        <w:rPr>
          <w:rFonts w:ascii="Arial" w:hAnsi="Arial" w:cs="Arial"/>
        </w:rPr>
        <w:t xml:space="preserve"> Promover convenios de colaboración y asistencia técnica con </w:t>
      </w:r>
      <w:r w:rsidR="00D47E7F">
        <w:rPr>
          <w:rFonts w:ascii="Arial" w:hAnsi="Arial" w:cs="Arial"/>
        </w:rPr>
        <w:t>u</w:t>
      </w:r>
      <w:r w:rsidRPr="00524805">
        <w:rPr>
          <w:rFonts w:ascii="Arial" w:hAnsi="Arial" w:cs="Arial"/>
        </w:rPr>
        <w:t xml:space="preserve">niversidades; con el Instituto Nacional de Tecnología Agropecuaria y otros organismos técnicos </w:t>
      </w:r>
      <w:r w:rsidRPr="00524805">
        <w:rPr>
          <w:rFonts w:ascii="Arial" w:hAnsi="Arial" w:cs="Arial"/>
        </w:rPr>
        <w:lastRenderedPageBreak/>
        <w:t>relacionados con la investigación de los ecosistemas provinciales o nacionales; con las entidades representativas de la producción agropecuaria; y con asociaciones y fundaciones ambientalistas a fin de definir las acciones y técnicas a incorporar en el Protocolo de Prácticas de Manejo y Control de las especies leñosas exóticas invasoras.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d)</w:t>
      </w:r>
      <w:r w:rsidRPr="00524805">
        <w:rPr>
          <w:rFonts w:ascii="Arial" w:hAnsi="Arial" w:cs="Arial"/>
        </w:rPr>
        <w:t xml:space="preserve"> Realizar evaluaciones e informes sobre el impacto en el medio ambiente y/o económico que la diseminación de los ejemplares de las especies leñosas exóticas invasoras produce en los distintos ámbitos naturales y de la producción agropecuaria de la </w:t>
      </w:r>
      <w:r w:rsidR="00D47E7F">
        <w:rPr>
          <w:rFonts w:ascii="Arial" w:hAnsi="Arial" w:cs="Arial"/>
        </w:rPr>
        <w:t>P</w:t>
      </w:r>
      <w:r w:rsidRPr="00524805">
        <w:rPr>
          <w:rFonts w:ascii="Arial" w:hAnsi="Arial" w:cs="Arial"/>
        </w:rPr>
        <w:t>rovincia.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e)</w:t>
      </w:r>
      <w:r w:rsidRPr="00524805">
        <w:rPr>
          <w:rFonts w:ascii="Arial" w:hAnsi="Arial" w:cs="Arial"/>
        </w:rPr>
        <w:t xml:space="preserve"> Determinar las zonas y los departamentos de </w:t>
      </w:r>
      <w:smartTag w:uri="urn:schemas-microsoft-com:office:smarttags" w:element="PersonName">
        <w:smartTagPr>
          <w:attr w:name="ProductID" w:val="la Provincia"/>
        </w:smartTagPr>
        <w:r w:rsidRPr="00524805">
          <w:rPr>
            <w:rFonts w:ascii="Arial" w:hAnsi="Arial" w:cs="Arial"/>
          </w:rPr>
          <w:t>la Provincia</w:t>
        </w:r>
      </w:smartTag>
      <w:r w:rsidRPr="00524805">
        <w:rPr>
          <w:rFonts w:ascii="Arial" w:hAnsi="Arial" w:cs="Arial"/>
        </w:rPr>
        <w:t xml:space="preserve"> que se encuentran mayormente afectados por la presencia de estas especies, a fin de priorizar acciones sobre las áreas más afectadas, fomentando el remplazo o repoblación por especies arbóreas nativas.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f)</w:t>
      </w:r>
      <w:r w:rsidRPr="00524805">
        <w:rPr>
          <w:rFonts w:ascii="Arial" w:hAnsi="Arial" w:cs="Arial"/>
        </w:rPr>
        <w:t xml:space="preserve"> Promover convenios con los </w:t>
      </w:r>
      <w:r w:rsidR="00D47E7F">
        <w:rPr>
          <w:rFonts w:ascii="Arial" w:hAnsi="Arial" w:cs="Arial"/>
        </w:rPr>
        <w:t>m</w:t>
      </w:r>
      <w:r w:rsidRPr="00524805">
        <w:rPr>
          <w:rFonts w:ascii="Arial" w:hAnsi="Arial" w:cs="Arial"/>
        </w:rPr>
        <w:t xml:space="preserve">unicipios y </w:t>
      </w:r>
      <w:r w:rsidR="00D47E7F">
        <w:rPr>
          <w:rFonts w:ascii="Arial" w:hAnsi="Arial" w:cs="Arial"/>
        </w:rPr>
        <w:t>c</w:t>
      </w:r>
      <w:r w:rsidRPr="00524805">
        <w:rPr>
          <w:rFonts w:ascii="Arial" w:hAnsi="Arial" w:cs="Arial"/>
        </w:rPr>
        <w:t>omunas de la Provincia para el establecimiento de vínculos de asistencia, articulación, complementación y colaboración en la aplicación del Programa en sus respectivas jurisdicciones, garantizando los aspectos técnicos y de recursos humanos y materiales necesarios para tal fin.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g)</w:t>
      </w:r>
      <w:r w:rsidRPr="00524805">
        <w:rPr>
          <w:rFonts w:ascii="Arial" w:hAnsi="Arial" w:cs="Arial"/>
        </w:rPr>
        <w:t xml:space="preserve"> Brindar asesoramiento y asistencia técnica a los propietarios que lo requieran para el control y  erradicación de las especies leñosas exóticas invasoras.   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524805">
        <w:rPr>
          <w:rFonts w:ascii="Arial" w:hAnsi="Arial" w:cs="Arial"/>
          <w:b/>
        </w:rPr>
        <w:t>h)</w:t>
      </w:r>
      <w:r w:rsidRPr="00524805">
        <w:rPr>
          <w:rFonts w:ascii="Arial" w:hAnsi="Arial" w:cs="Arial"/>
        </w:rPr>
        <w:t xml:space="preserve"> Promover y financiar programas de investigación científica tendientes al logro de los objetivos de la presente ley.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441189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441189">
        <w:rPr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7</w:t>
      </w:r>
      <w:r w:rsidRPr="00441189">
        <w:rPr>
          <w:rFonts w:ascii="Arial" w:hAnsi="Arial" w:cs="Arial"/>
          <w:b/>
          <w:bCs/>
          <w:u w:val="single"/>
          <w:lang w:val="es-MX"/>
        </w:rPr>
        <w:t>°.-</w:t>
      </w:r>
      <w:r w:rsidRPr="00441189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="00524805" w:rsidRPr="00524805">
        <w:rPr>
          <w:rFonts w:ascii="Arial" w:hAnsi="Arial" w:cs="Arial"/>
        </w:rPr>
        <w:t>Prohíbese</w:t>
      </w:r>
      <w:proofErr w:type="spellEnd"/>
      <w:r w:rsidR="00524805" w:rsidRPr="00524805">
        <w:rPr>
          <w:rFonts w:ascii="Arial" w:hAnsi="Arial" w:cs="Arial"/>
        </w:rPr>
        <w:t xml:space="preserve"> en el territorio de </w:t>
      </w:r>
      <w:smartTag w:uri="urn:schemas-microsoft-com:office:smarttags" w:element="PersonName">
        <w:smartTagPr>
          <w:attr w:name="ProductID" w:val="la Provincia"/>
        </w:smartTagPr>
        <w:r w:rsidR="00524805" w:rsidRPr="00524805">
          <w:rPr>
            <w:rFonts w:ascii="Arial" w:hAnsi="Arial" w:cs="Arial"/>
          </w:rPr>
          <w:t>la Provincia</w:t>
        </w:r>
      </w:smartTag>
      <w:r w:rsidR="00524805" w:rsidRPr="00524805">
        <w:rPr>
          <w:rFonts w:ascii="Arial" w:hAnsi="Arial" w:cs="Arial"/>
        </w:rPr>
        <w:t xml:space="preserve"> de Entre Ríos la reproducción y plantación de las especies leñosas exóticas invasoras con fines comerciales, de explotación forestal y de uso paisajístico.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441189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441189">
        <w:rPr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8</w:t>
      </w:r>
      <w:r w:rsidRPr="00441189">
        <w:rPr>
          <w:rFonts w:ascii="Arial" w:hAnsi="Arial" w:cs="Arial"/>
          <w:b/>
          <w:bCs/>
          <w:u w:val="single"/>
          <w:lang w:val="es-MX"/>
        </w:rPr>
        <w:t>°.-</w:t>
      </w:r>
      <w:r w:rsidRPr="00441189">
        <w:rPr>
          <w:rFonts w:ascii="Arial" w:hAnsi="Arial" w:cs="Arial"/>
          <w:b/>
          <w:bCs/>
          <w:lang w:val="es-MX"/>
        </w:rPr>
        <w:t xml:space="preserve"> </w:t>
      </w:r>
      <w:r w:rsidR="00524805" w:rsidRPr="00524805">
        <w:rPr>
          <w:rFonts w:ascii="Arial" w:hAnsi="Arial" w:cs="Arial"/>
        </w:rPr>
        <w:t>Los propietarios, arrendatarios, usufructuarios u ocupantes de parcelas privadas y fiscales, tienen la obligación de controlar, dentro de los límites de sus respectivos inmuebles, los ejemplares de las respectivas especies leñosas exóticas invasoras que existieren.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441189" w:rsidP="00441189">
      <w:pPr>
        <w:pStyle w:val="ecxmsonormal"/>
        <w:tabs>
          <w:tab w:val="left" w:pos="4560"/>
        </w:tabs>
        <w:spacing w:before="0" w:after="0"/>
        <w:jc w:val="both"/>
        <w:rPr>
          <w:rFonts w:ascii="Arial" w:hAnsi="Arial" w:cs="Arial"/>
        </w:rPr>
      </w:pPr>
      <w:r w:rsidRPr="00441189">
        <w:rPr>
          <w:rFonts w:ascii="Arial" w:hAnsi="Arial" w:cs="Arial"/>
          <w:b/>
          <w:bCs/>
          <w:u w:val="single"/>
          <w:lang w:val="es-MX"/>
        </w:rPr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9</w:t>
      </w:r>
      <w:r w:rsidRPr="00441189">
        <w:rPr>
          <w:rFonts w:ascii="Arial" w:hAnsi="Arial" w:cs="Arial"/>
          <w:b/>
          <w:bCs/>
          <w:u w:val="single"/>
          <w:lang w:val="es-MX"/>
        </w:rPr>
        <w:t>°.-</w:t>
      </w:r>
      <w:r w:rsidRPr="00441189">
        <w:rPr>
          <w:rFonts w:ascii="Arial" w:hAnsi="Arial" w:cs="Arial"/>
          <w:b/>
          <w:bCs/>
          <w:lang w:val="es-MX"/>
        </w:rPr>
        <w:t xml:space="preserve"> </w:t>
      </w:r>
      <w:r w:rsidR="00524805" w:rsidRPr="00524805">
        <w:rPr>
          <w:rFonts w:ascii="Arial" w:hAnsi="Arial" w:cs="Arial"/>
        </w:rPr>
        <w:t xml:space="preserve"> Las acciones determinadas en el Artículo 8º de la presente y las que fueren necesarias deberán ser practicadas sin derecho a retribución alguna, y por medio de las técnicas y acciones que </w:t>
      </w:r>
      <w:smartTag w:uri="urn:schemas-microsoft-com:office:smarttags" w:element="PersonName">
        <w:smartTagPr>
          <w:attr w:name="ProductID" w:val="La Autoridad"/>
        </w:smartTagPr>
        <w:r w:rsidR="00524805" w:rsidRPr="00524805">
          <w:rPr>
            <w:rFonts w:ascii="Arial" w:hAnsi="Arial" w:cs="Arial"/>
          </w:rPr>
          <w:t>la Autoridad</w:t>
        </w:r>
      </w:smartTag>
      <w:r w:rsidR="00524805" w:rsidRPr="00524805">
        <w:rPr>
          <w:rFonts w:ascii="Arial" w:hAnsi="Arial" w:cs="Arial"/>
        </w:rPr>
        <w:t xml:space="preserve"> de Aplicación determine por medio del </w:t>
      </w:r>
      <w:r w:rsidR="00524805" w:rsidRPr="00524805">
        <w:rPr>
          <w:rStyle w:val="apple-converted-space"/>
          <w:rFonts w:ascii="Arial" w:hAnsi="Arial" w:cs="Arial"/>
        </w:rPr>
        <w:t>Protocolo de Prácticas de Manejo y Control</w:t>
      </w:r>
      <w:r w:rsidR="00524805" w:rsidRPr="00524805">
        <w:rPr>
          <w:rFonts w:ascii="Arial" w:hAnsi="Arial" w:cs="Arial"/>
        </w:rPr>
        <w:t>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524805" w:rsidRPr="00524805" w:rsidRDefault="00441189" w:rsidP="00524805">
      <w:pPr>
        <w:pStyle w:val="ecxmsonormal"/>
        <w:spacing w:before="0" w:after="0"/>
        <w:jc w:val="both"/>
        <w:rPr>
          <w:rFonts w:ascii="Arial" w:hAnsi="Arial" w:cs="Arial"/>
        </w:rPr>
      </w:pPr>
      <w:r w:rsidRPr="00441189">
        <w:rPr>
          <w:rFonts w:ascii="Arial" w:hAnsi="Arial" w:cs="Arial"/>
          <w:b/>
          <w:bCs/>
          <w:u w:val="single"/>
          <w:lang w:val="es-MX"/>
        </w:rPr>
        <w:lastRenderedPageBreak/>
        <w:t xml:space="preserve">ARTÍCULO </w:t>
      </w:r>
      <w:r>
        <w:rPr>
          <w:rFonts w:ascii="Arial" w:hAnsi="Arial" w:cs="Arial"/>
          <w:b/>
          <w:bCs/>
          <w:u w:val="single"/>
          <w:lang w:val="es-MX"/>
        </w:rPr>
        <w:t>10</w:t>
      </w:r>
      <w:r w:rsidRPr="00441189">
        <w:rPr>
          <w:rFonts w:ascii="Arial" w:hAnsi="Arial" w:cs="Arial"/>
          <w:b/>
          <w:bCs/>
          <w:u w:val="single"/>
          <w:lang w:val="es-MX"/>
        </w:rPr>
        <w:t>°.-</w:t>
      </w:r>
      <w:r w:rsidRPr="00441189">
        <w:rPr>
          <w:rFonts w:ascii="Arial" w:hAnsi="Arial" w:cs="Arial"/>
          <w:b/>
          <w:bCs/>
          <w:lang w:val="es-MX"/>
        </w:rPr>
        <w:t xml:space="preserve"> </w:t>
      </w:r>
      <w:r w:rsidR="00524805" w:rsidRPr="00524805">
        <w:rPr>
          <w:rFonts w:ascii="Arial" w:hAnsi="Arial" w:cs="Arial"/>
        </w:rPr>
        <w:t xml:space="preserve">La Autoridad de Aplicación deberá dar cumplimiento al Artículo 5º </w:t>
      </w:r>
      <w:r w:rsidR="00524805" w:rsidRPr="00524805">
        <w:rPr>
          <w:rStyle w:val="apple-converted-space"/>
          <w:rFonts w:ascii="Arial" w:hAnsi="Arial" w:cs="Arial"/>
        </w:rPr>
        <w:t>en el plazo de  los ciento ochenta días, improrrogables a partir de la sanción de la presente ley.</w:t>
      </w:r>
    </w:p>
    <w:p w:rsidR="00524805" w:rsidRPr="00524805" w:rsidRDefault="00524805" w:rsidP="00524805">
      <w:pPr>
        <w:pStyle w:val="ecxmsonormal"/>
        <w:spacing w:before="0" w:after="0"/>
        <w:jc w:val="both"/>
        <w:rPr>
          <w:rFonts w:ascii="Arial" w:hAnsi="Arial" w:cs="Arial"/>
        </w:rPr>
      </w:pPr>
    </w:p>
    <w:p w:rsidR="002561CB" w:rsidRDefault="002561CB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ARTÍCULO </w:t>
      </w:r>
      <w:r w:rsidR="00441189">
        <w:rPr>
          <w:rFonts w:ascii="Arial" w:hAnsi="Arial"/>
          <w:b/>
          <w:u w:val="single"/>
        </w:rPr>
        <w:t>11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2561CB" w:rsidRDefault="002561CB">
      <w:pPr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pStyle w:val="L1"/>
      </w:pPr>
      <w:r>
        <w:t xml:space="preserve">PARANÁ, SALA DE SESIONES, </w:t>
      </w:r>
      <w:r w:rsidR="00D47E7F">
        <w:t>18 de mayo de 2017</w:t>
      </w:r>
      <w:r>
        <w:t>.</w:t>
      </w:r>
    </w:p>
    <w:p w:rsidR="002561CB" w:rsidRDefault="002561CB">
      <w:pPr>
        <w:jc w:val="both"/>
        <w:rPr>
          <w:rFonts w:ascii="Arial" w:hAnsi="Arial"/>
        </w:rPr>
      </w:pPr>
    </w:p>
    <w:p w:rsidR="00530DCA" w:rsidRPr="007C162C" w:rsidRDefault="00530DCA" w:rsidP="007C162C">
      <w:pPr>
        <w:pStyle w:val="Ttulo1"/>
        <w:jc w:val="both"/>
        <w:rPr>
          <w:rFonts w:ascii="Times New Roman" w:hAnsi="Times New Roman"/>
          <w:sz w:val="22"/>
          <w:szCs w:val="22"/>
          <w:u w:val="none"/>
        </w:rPr>
      </w:pPr>
      <w:r w:rsidRPr="007C162C">
        <w:rPr>
          <w:rFonts w:ascii="Times New Roman" w:hAnsi="Times New Roman"/>
          <w:sz w:val="22"/>
          <w:szCs w:val="22"/>
          <w:u w:val="none"/>
        </w:rPr>
        <w:t xml:space="preserve">  Sergio Daniel URRIBARRI</w:t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  <w:t xml:space="preserve">          Adán Humberto BAHL</w:t>
      </w:r>
    </w:p>
    <w:p w:rsidR="00530DCA" w:rsidRPr="007C162C" w:rsidRDefault="00530DCA">
      <w:pPr>
        <w:jc w:val="both"/>
        <w:rPr>
          <w:b/>
          <w:sz w:val="22"/>
          <w:szCs w:val="22"/>
        </w:rPr>
      </w:pPr>
      <w:r w:rsidRPr="007C162C">
        <w:rPr>
          <w:b/>
          <w:sz w:val="22"/>
          <w:szCs w:val="22"/>
        </w:rPr>
        <w:t>Presidente H. C. de Diputados</w:t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  <w:t xml:space="preserve">    Presidente H. C. de Senadores</w:t>
      </w:r>
    </w:p>
    <w:p w:rsidR="00530DCA" w:rsidRDefault="00530DCA">
      <w:pPr>
        <w:jc w:val="both"/>
        <w:rPr>
          <w:b/>
          <w:sz w:val="22"/>
        </w:rPr>
      </w:pPr>
    </w:p>
    <w:p w:rsidR="00530DCA" w:rsidRDefault="00530DCA">
      <w:pPr>
        <w:jc w:val="both"/>
        <w:rPr>
          <w:b/>
          <w:sz w:val="22"/>
        </w:rPr>
      </w:pPr>
    </w:p>
    <w:p w:rsidR="00530DCA" w:rsidRDefault="00530DCA">
      <w:pPr>
        <w:jc w:val="both"/>
        <w:rPr>
          <w:b/>
          <w:sz w:val="22"/>
        </w:rPr>
      </w:pPr>
      <w:r>
        <w:rPr>
          <w:b/>
          <w:sz w:val="22"/>
        </w:rPr>
        <w:t xml:space="preserve">           Nicolás PIERINI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30DCA" w:rsidRDefault="00530DCA">
      <w:pPr>
        <w:jc w:val="both"/>
        <w:rPr>
          <w:b/>
          <w:sz w:val="22"/>
        </w:rPr>
      </w:pPr>
      <w:r>
        <w:rPr>
          <w:b/>
          <w:sz w:val="22"/>
        </w:rPr>
        <w:t>Secretario H. C. de Diputados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30DCA" w:rsidRDefault="00530DCA">
      <w:pPr>
        <w:jc w:val="both"/>
        <w:rPr>
          <w:b/>
          <w:sz w:val="22"/>
        </w:rPr>
      </w:pPr>
    </w:p>
    <w:p w:rsidR="00530DCA" w:rsidRDefault="00530DC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30DCA" w:rsidRDefault="00530DCA"/>
    <w:p w:rsidR="00530DCA" w:rsidRDefault="00530DCA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  <w:bookmarkStart w:id="0" w:name="_GoBack"/>
      <w:bookmarkEnd w:id="0"/>
    </w:p>
    <w:sectPr w:rsidR="002561CB" w:rsidSect="001F179B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399" w:rsidRDefault="00C63399" w:rsidP="002561CB">
      <w:pPr>
        <w:pStyle w:val="Encabezado"/>
      </w:pPr>
      <w:r>
        <w:separator/>
      </w:r>
    </w:p>
  </w:endnote>
  <w:endnote w:type="continuationSeparator" w:id="0">
    <w:p w:rsidR="00C63399" w:rsidRDefault="00C63399" w:rsidP="002561C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399" w:rsidRDefault="00C63399" w:rsidP="002561CB">
      <w:pPr>
        <w:pStyle w:val="Encabezado"/>
      </w:pPr>
      <w:r>
        <w:separator/>
      </w:r>
    </w:p>
  </w:footnote>
  <w:footnote w:type="continuationSeparator" w:id="0">
    <w:p w:rsidR="00C63399" w:rsidRDefault="00C63399" w:rsidP="002561C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15" w:rsidRDefault="000814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2CD"/>
    <w:rsid w:val="00081415"/>
    <w:rsid w:val="000B72CD"/>
    <w:rsid w:val="001F179B"/>
    <w:rsid w:val="002561CB"/>
    <w:rsid w:val="003837DB"/>
    <w:rsid w:val="00441189"/>
    <w:rsid w:val="00524805"/>
    <w:rsid w:val="00530DCA"/>
    <w:rsid w:val="005540F9"/>
    <w:rsid w:val="00777EEE"/>
    <w:rsid w:val="00AB0141"/>
    <w:rsid w:val="00C63399"/>
    <w:rsid w:val="00CA28B9"/>
    <w:rsid w:val="00D47E7F"/>
    <w:rsid w:val="00FB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2208-ABF6-4128-8AEA-DAD522C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3276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Cs w:val="327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suppressAutoHyphens/>
      <w:jc w:val="both"/>
    </w:pPr>
    <w:rPr>
      <w:rFonts w:ascii="Arial" w:hAnsi="Arial" w:cs="Arial"/>
      <w:kern w:val="1"/>
      <w:szCs w:val="26"/>
      <w:lang w:eastAsia="zh-CN"/>
    </w:rPr>
  </w:style>
  <w:style w:type="paragraph" w:customStyle="1" w:styleId="ecxmsonormal">
    <w:name w:val="ecxmsonormal"/>
    <w:basedOn w:val="Normal"/>
    <w:rsid w:val="00524805"/>
    <w:pPr>
      <w:widowControl w:val="0"/>
      <w:suppressAutoHyphens/>
      <w:spacing w:before="280" w:after="280"/>
    </w:pPr>
    <w:rPr>
      <w:kern w:val="2"/>
      <w:lang w:val="es-AR" w:eastAsia="zh-CN" w:bidi="hi-IN"/>
    </w:rPr>
  </w:style>
  <w:style w:type="character" w:customStyle="1" w:styleId="apple-converted-space">
    <w:name w:val="apple-converted-space"/>
    <w:rsid w:val="00524805"/>
  </w:style>
  <w:style w:type="paragraph" w:styleId="Textodeglobo">
    <w:name w:val="Balloon Text"/>
    <w:basedOn w:val="Normal"/>
    <w:link w:val="TextodegloboCar"/>
    <w:rsid w:val="00530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30DC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530DCA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2017-05-19T14:07:00Z</cp:lastPrinted>
  <dcterms:created xsi:type="dcterms:W3CDTF">2017-04-25T15:04:00Z</dcterms:created>
  <dcterms:modified xsi:type="dcterms:W3CDTF">2017-05-23T12:22:00Z</dcterms:modified>
</cp:coreProperties>
</file>