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DC" w:rsidRDefault="00BF6768" w:rsidP="00BF676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HONORABLE SENADO:</w:t>
      </w:r>
    </w:p>
    <w:p w:rsidR="00BF6768" w:rsidRPr="00AB50DC" w:rsidRDefault="00BF6768" w:rsidP="00AB50DC">
      <w:pPr>
        <w:ind w:firstLine="2694"/>
        <w:jc w:val="both"/>
        <w:rPr>
          <w:rFonts w:ascii="Arial" w:hAnsi="Arial" w:cs="Arial"/>
          <w:sz w:val="24"/>
          <w:szCs w:val="24"/>
        </w:rPr>
      </w:pPr>
      <w:r w:rsidRPr="00AB50DC">
        <w:rPr>
          <w:rFonts w:ascii="Arial" w:hAnsi="Arial" w:cs="Arial"/>
          <w:sz w:val="24"/>
          <w:szCs w:val="24"/>
        </w:rPr>
        <w:t xml:space="preserve">Vuestra Comisión de Asuntos Constitucionales y Acuerdos ha considerado el Proyecto de Ley Contenido en el Expediente Nº 11.741 H. C. S., autoría del Senador </w:t>
      </w:r>
      <w:proofErr w:type="spellStart"/>
      <w:r w:rsidRPr="00AB50DC">
        <w:rPr>
          <w:rFonts w:ascii="Arial" w:hAnsi="Arial" w:cs="Arial"/>
          <w:sz w:val="24"/>
          <w:szCs w:val="24"/>
        </w:rPr>
        <w:t>Giano</w:t>
      </w:r>
      <w:proofErr w:type="spellEnd"/>
      <w:r w:rsidRPr="00AB50DC">
        <w:rPr>
          <w:rFonts w:ascii="Arial" w:hAnsi="Arial" w:cs="Arial"/>
          <w:sz w:val="24"/>
          <w:szCs w:val="24"/>
        </w:rPr>
        <w:t xml:space="preserve">, por el que se deja sin efecto la declaración de Utilidad Pública y Sujetos a Expropiación de inmuebles detallados en Anexo Adjunto, correspondientes a la Ley Nº 10059 y, por las razones que dará su miembro informante, aconseja su aprobación en los términos presentados   </w:t>
      </w:r>
    </w:p>
    <w:p w:rsidR="00BF6768" w:rsidRDefault="00BF6768" w:rsidP="00BF6768">
      <w:pPr>
        <w:jc w:val="both"/>
        <w:rPr>
          <w:rFonts w:ascii="Arial" w:hAnsi="Arial" w:cs="Arial"/>
          <w:b/>
          <w:sz w:val="24"/>
          <w:szCs w:val="24"/>
        </w:rPr>
      </w:pPr>
    </w:p>
    <w:p w:rsidR="00BF6768" w:rsidRDefault="00BF6768" w:rsidP="00BF67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LEGISLATURA DE LA PROVINCIA DE ENTRE RIOS SANCIONA</w:t>
      </w:r>
    </w:p>
    <w:p w:rsidR="00BF6768" w:rsidRDefault="00BF6768" w:rsidP="00BF67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 FUERZA DE</w:t>
      </w:r>
    </w:p>
    <w:p w:rsidR="00BF6768" w:rsidRDefault="00BF6768" w:rsidP="00BF67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LEY:</w:t>
      </w:r>
    </w:p>
    <w:p w:rsidR="00BF6768" w:rsidRDefault="00BF6768" w:rsidP="00BF6768">
      <w:pPr>
        <w:jc w:val="both"/>
        <w:rPr>
          <w:rFonts w:ascii="Arial" w:hAnsi="Arial" w:cs="Arial"/>
          <w:b/>
          <w:sz w:val="24"/>
          <w:szCs w:val="24"/>
        </w:rPr>
      </w:pPr>
    </w:p>
    <w:p w:rsidR="00BF6768" w:rsidRDefault="00BF6768" w:rsidP="00BF67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ARTICULO 1°: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Déjase</w:t>
      </w:r>
      <w:proofErr w:type="spellEnd"/>
      <w:r>
        <w:rPr>
          <w:rFonts w:ascii="Arial" w:hAnsi="Arial" w:cs="Arial"/>
          <w:sz w:val="24"/>
          <w:szCs w:val="24"/>
        </w:rPr>
        <w:t xml:space="preserve"> sin efecto la declaración de utilidad pública y sujeción a expropiación dispuesta por Ley 10059 exclusivamente en lo referente a los inmuebles que se detallan en el ANEXO I que forma parte del presente, arribado en el marco de la Ordenanza Nº 35.566/15, de fecha el 15 de octubre de 2015 de la Municipalidad de la ciudad de Concordia.</w:t>
      </w:r>
    </w:p>
    <w:p w:rsidR="00BF6768" w:rsidRDefault="00BF6768" w:rsidP="00BF67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ARTICULO 2</w:t>
      </w:r>
      <w:r>
        <w:rPr>
          <w:rFonts w:ascii="Arial" w:hAnsi="Arial" w:cs="Arial"/>
          <w:b/>
          <w:sz w:val="24"/>
          <w:szCs w:val="24"/>
        </w:rPr>
        <w:t xml:space="preserve">°: </w:t>
      </w:r>
      <w:proofErr w:type="spellStart"/>
      <w:r>
        <w:rPr>
          <w:rFonts w:ascii="Arial" w:hAnsi="Arial" w:cs="Arial"/>
          <w:sz w:val="24"/>
          <w:szCs w:val="24"/>
        </w:rPr>
        <w:t>Facúltase</w:t>
      </w:r>
      <w:proofErr w:type="spellEnd"/>
      <w:r>
        <w:rPr>
          <w:rFonts w:ascii="Arial" w:hAnsi="Arial" w:cs="Arial"/>
          <w:sz w:val="24"/>
          <w:szCs w:val="24"/>
        </w:rPr>
        <w:t xml:space="preserve"> al Poder Ejecutivo Provincial a realizar las adecuaciones y modificación presupuestarias necesarias en virtud de lo dispuesto en el Artículo 1º de la presente.</w:t>
      </w:r>
    </w:p>
    <w:p w:rsidR="00BF6768" w:rsidRDefault="00BF6768" w:rsidP="00BF67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ARTICULO 3</w:t>
      </w:r>
      <w:r>
        <w:rPr>
          <w:rFonts w:ascii="Arial" w:hAnsi="Arial" w:cs="Arial"/>
          <w:b/>
          <w:sz w:val="24"/>
          <w:szCs w:val="24"/>
        </w:rPr>
        <w:t xml:space="preserve">°: </w:t>
      </w:r>
      <w:r>
        <w:rPr>
          <w:rFonts w:ascii="Arial" w:hAnsi="Arial" w:cs="Arial"/>
          <w:sz w:val="24"/>
          <w:szCs w:val="24"/>
        </w:rPr>
        <w:t>Comuníquese, etc.</w:t>
      </w:r>
    </w:p>
    <w:p w:rsidR="00AB50DC" w:rsidRDefault="00AB50DC"/>
    <w:p w:rsidR="00AB50DC" w:rsidRPr="00AB50DC" w:rsidRDefault="00AB50DC" w:rsidP="00AB50DC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AB50DC">
        <w:rPr>
          <w:rFonts w:ascii="Arial" w:hAnsi="Arial" w:cs="Arial"/>
          <w:b/>
          <w:bCs/>
        </w:rPr>
        <w:t>PARANA</w:t>
      </w:r>
      <w:r w:rsidRPr="00AB50DC">
        <w:rPr>
          <w:rFonts w:ascii="Arial" w:hAnsi="Arial" w:cs="Arial"/>
        </w:rPr>
        <w:t>, Sala de Comisiones 22 de septiembre de 2016.</w:t>
      </w:r>
    </w:p>
    <w:p w:rsidR="00AB50DC" w:rsidRPr="00AB50DC" w:rsidRDefault="00AB50DC" w:rsidP="00AB50DC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AB50DC" w:rsidRDefault="00AB50DC" w:rsidP="00AB50DC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</w:rPr>
      </w:pPr>
    </w:p>
    <w:p w:rsidR="00AB50DC" w:rsidRDefault="00AB50DC" w:rsidP="00AB50DC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</w:rPr>
      </w:pP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Angel</w:t>
      </w:r>
      <w:proofErr w:type="spellEnd"/>
      <w:r>
        <w:rPr>
          <w:rFonts w:ascii="Times New Roman" w:hAnsi="Times New Roman"/>
        </w:rPr>
        <w:t>.</w:t>
      </w: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CANALI</w:t>
      </w:r>
      <w:r>
        <w:rPr>
          <w:rFonts w:ascii="Times New Roman" w:hAnsi="Times New Roman"/>
        </w:rPr>
        <w:t>, Pablo.</w:t>
      </w: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  <w:lang w:val="es-ES"/>
        </w:rPr>
        <w:t>MIRANDA</w:t>
      </w:r>
      <w:r>
        <w:rPr>
          <w:rFonts w:ascii="Times New Roman" w:hAnsi="Times New Roman"/>
          <w:lang w:val="es-ES"/>
        </w:rPr>
        <w:t>, Nancy.</w:t>
      </w: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proofErr w:type="gramStart"/>
      <w:r>
        <w:rPr>
          <w:rFonts w:ascii="Times New Roman" w:hAnsi="Times New Roman"/>
          <w:lang w:val="en-US"/>
        </w:rPr>
        <w:t>Rogelio .</w:t>
      </w:r>
      <w:proofErr w:type="gramEnd"/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AB50DC" w:rsidRDefault="00AB50DC" w:rsidP="00AB50DC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FERRARI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Roque .</w:t>
      </w:r>
      <w:proofErr w:type="gramEnd"/>
    </w:p>
    <w:p w:rsidR="00AB50DC" w:rsidRDefault="00AB50DC" w:rsidP="00AB50DC">
      <w:pPr>
        <w:rPr>
          <w:b/>
          <w:bCs/>
        </w:rPr>
      </w:pPr>
    </w:p>
    <w:p w:rsidR="00AB50DC" w:rsidRDefault="00AB50DC" w:rsidP="00AB50DC">
      <w:pPr>
        <w:rPr>
          <w:b/>
          <w:bCs/>
        </w:rPr>
      </w:pPr>
    </w:p>
    <w:p w:rsidR="00AB50DC" w:rsidRDefault="00AB50DC" w:rsidP="00AB50DC"/>
    <w:p w:rsidR="00AB50DC" w:rsidRDefault="00AB50DC"/>
    <w:sectPr w:rsidR="00AB50DC" w:rsidSect="00BF6768">
      <w:pgSz w:w="11906" w:h="16838"/>
      <w:pgMar w:top="3119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68"/>
    <w:rsid w:val="000E52BE"/>
    <w:rsid w:val="003F4683"/>
    <w:rsid w:val="005056BB"/>
    <w:rsid w:val="00AB50DC"/>
    <w:rsid w:val="00B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3F43-538F-4369-8E45-AEEBB4B8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76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B50DC"/>
    <w:pPr>
      <w:tabs>
        <w:tab w:val="center" w:pos="4419"/>
        <w:tab w:val="right" w:pos="8838"/>
      </w:tabs>
    </w:pPr>
    <w:rPr>
      <w:rFonts w:ascii="Artistik" w:eastAsia="Times New Roman" w:hAnsi="Artistik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B50DC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0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0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258D-5753-434F-8148-A9D8ED00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2016-09-28T14:54:00Z</cp:lastPrinted>
  <dcterms:created xsi:type="dcterms:W3CDTF">2016-10-19T11:43:00Z</dcterms:created>
  <dcterms:modified xsi:type="dcterms:W3CDTF">2016-10-19T11:43:00Z</dcterms:modified>
</cp:coreProperties>
</file>