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A11" w:rsidRDefault="00F27A11" w:rsidP="00F27A11">
      <w:bookmarkStart w:id="0" w:name="_GoBack"/>
      <w:bookmarkEnd w:id="0"/>
    </w:p>
    <w:p w:rsidR="00F27A11" w:rsidRPr="00D1392D" w:rsidRDefault="00F27A11" w:rsidP="00F27A11">
      <w:pPr>
        <w:spacing w:before="100" w:line="360" w:lineRule="auto"/>
        <w:jc w:val="both"/>
        <w:rPr>
          <w:rFonts w:ascii="Arial" w:hAnsi="Arial" w:cs="Arial"/>
        </w:rPr>
      </w:pPr>
      <w:r w:rsidRPr="00D1392D">
        <w:rPr>
          <w:rFonts w:ascii="Arial" w:hAnsi="Arial" w:cs="Arial"/>
          <w:b/>
        </w:rPr>
        <w:t>HONORABLE SENADO</w:t>
      </w:r>
      <w:r w:rsidRPr="00D1392D">
        <w:rPr>
          <w:rFonts w:ascii="Arial" w:hAnsi="Arial" w:cs="Arial"/>
        </w:rPr>
        <w:t xml:space="preserve">: </w:t>
      </w:r>
    </w:p>
    <w:p w:rsidR="00F27A11" w:rsidRPr="00D1392D" w:rsidRDefault="00F27A11" w:rsidP="00F27A11">
      <w:pPr>
        <w:spacing w:line="360" w:lineRule="auto"/>
        <w:jc w:val="both"/>
        <w:rPr>
          <w:rFonts w:ascii="Arial" w:hAnsi="Arial" w:cs="Arial"/>
        </w:rPr>
      </w:pPr>
      <w:r w:rsidRPr="00D1392D">
        <w:rPr>
          <w:rFonts w:ascii="Arial" w:hAnsi="Arial" w:cs="Arial"/>
        </w:rPr>
        <w:t xml:space="preserve"> </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El </w:t>
      </w:r>
      <w:r w:rsidRPr="00D1392D">
        <w:rPr>
          <w:rFonts w:ascii="Arial" w:hAnsi="Arial" w:cs="Arial"/>
          <w:b/>
        </w:rPr>
        <w:t>Dr.</w:t>
      </w:r>
      <w:r w:rsidRPr="00D1392D">
        <w:rPr>
          <w:rFonts w:ascii="Arial" w:hAnsi="Arial" w:cs="Arial"/>
          <w:highlight w:val="white"/>
        </w:rPr>
        <w:t xml:space="preserve"> </w:t>
      </w:r>
      <w:r w:rsidRPr="00D1392D">
        <w:rPr>
          <w:rFonts w:ascii="Arial" w:hAnsi="Arial" w:cs="Arial"/>
          <w:b/>
          <w:highlight w:val="white"/>
        </w:rPr>
        <w:t>Ángel Luis MOIA</w:t>
      </w:r>
      <w:r w:rsidRPr="00D1392D">
        <w:rPr>
          <w:rFonts w:ascii="Arial" w:hAnsi="Arial" w:cs="Arial"/>
        </w:rPr>
        <w:t xml:space="preserve">, ha sido propuesto por el Poder Ejecutivo Provincial para ser nombrado </w:t>
      </w:r>
      <w:r w:rsidRPr="00D1392D">
        <w:rPr>
          <w:rFonts w:ascii="Arial" w:hAnsi="Arial" w:cs="Arial"/>
          <w:b/>
        </w:rPr>
        <w:t>Juez del Juzgado Civil y Comercial Nº 9 de la ciudad de Paraná</w:t>
      </w:r>
      <w:r w:rsidRPr="00D1392D">
        <w:rPr>
          <w:rFonts w:ascii="Arial" w:hAnsi="Arial" w:cs="Arial"/>
        </w:rPr>
        <w:t>, por lo que ingresa a este Senado el pedido de Acuerdo para tal designación.</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Luego de haberse evaluado los antecedentes personales y curriculares del </w:t>
      </w:r>
      <w:r w:rsidRPr="00D1392D">
        <w:rPr>
          <w:rFonts w:ascii="Arial" w:hAnsi="Arial" w:cs="Arial"/>
          <w:b/>
        </w:rPr>
        <w:t>Dr</w:t>
      </w:r>
      <w:r w:rsidRPr="00D1392D">
        <w:rPr>
          <w:rFonts w:ascii="Arial" w:hAnsi="Arial" w:cs="Arial"/>
        </w:rPr>
        <w:t>.</w:t>
      </w:r>
      <w:r w:rsidRPr="00D1392D">
        <w:rPr>
          <w:rFonts w:ascii="Arial" w:hAnsi="Arial" w:cs="Arial"/>
          <w:b/>
          <w:highlight w:val="white"/>
        </w:rPr>
        <w:t xml:space="preserve"> MOIA</w:t>
      </w:r>
      <w:r w:rsidRPr="00D1392D">
        <w:rPr>
          <w:rFonts w:ascii="Arial" w:hAnsi="Arial" w:cs="Arial"/>
        </w:rPr>
        <w:t xml:space="preserve">, esta Comisión, mediante resolución fundada de fecha 7 de marzo de 2017, dio por cumplimentados los incisos a), b), y c) del artículo 19º del Reglamento del Senado y estableció fecha para la Audiencia Pública, facultando a </w:t>
      </w:r>
      <w:smartTag w:uri="urn:schemas-microsoft-com:office:smarttags" w:element="PersonName">
        <w:smartTagPr>
          <w:attr w:name="ProductID" w:val="la Secretar￭a"/>
        </w:smartTagPr>
        <w:r w:rsidRPr="00D1392D">
          <w:rPr>
            <w:rFonts w:ascii="Arial" w:hAnsi="Arial" w:cs="Arial"/>
          </w:rPr>
          <w:t>la Secretaría</w:t>
        </w:r>
      </w:smartTag>
      <w:r w:rsidRPr="00D1392D">
        <w:rPr>
          <w:rFonts w:ascii="Arial" w:hAnsi="Arial" w:cs="Arial"/>
        </w:rPr>
        <w:t xml:space="preserve"> de </w:t>
      </w:r>
      <w:smartTag w:uri="urn:schemas-microsoft-com:office:smarttags" w:element="PersonName">
        <w:smartTagPr>
          <w:attr w:name="ProductID" w:val="la C￡mara"/>
        </w:smartTagPr>
        <w:r w:rsidRPr="00D1392D">
          <w:rPr>
            <w:rFonts w:ascii="Arial" w:hAnsi="Arial" w:cs="Arial"/>
          </w:rPr>
          <w:t>la Cámara</w:t>
        </w:r>
      </w:smartTag>
      <w:r w:rsidRPr="00D1392D">
        <w:rPr>
          <w:rFonts w:ascii="Arial" w:hAnsi="Arial" w:cs="Arial"/>
        </w:rPr>
        <w:t xml:space="preserve"> a realizar las comunicaciones pertinentes.</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Ha resultado de la consulta ciudadana realizada del modo y por el plazo previsto en el inciso b) del artículo 19º del Reglamento que se presentaron dos (2) observaciones y once (11) adhesiones a su postulación todas las cuales obran agregadas en el expediente. </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El pasado 21 de marzo, se realizó en el Recinto de la Honorable Cámara de Senadores, la Audiencia Pública que ordena la norma reglamentaria. En la misma, como primer acto, se </w:t>
      </w:r>
      <w:proofErr w:type="spellStart"/>
      <w:r w:rsidRPr="00D1392D">
        <w:rPr>
          <w:rFonts w:ascii="Arial" w:hAnsi="Arial" w:cs="Arial"/>
        </w:rPr>
        <w:t>dió</w:t>
      </w:r>
      <w:proofErr w:type="spellEnd"/>
      <w:r w:rsidRPr="00D1392D">
        <w:rPr>
          <w:rFonts w:ascii="Arial" w:hAnsi="Arial" w:cs="Arial"/>
        </w:rPr>
        <w:t xml:space="preserve"> lectura del pedido de Acuerdo remitido por el Poder Ejecutivo y de los antecedentes personales y curriculares del </w:t>
      </w:r>
      <w:r w:rsidRPr="00D1392D">
        <w:rPr>
          <w:rFonts w:ascii="Arial" w:hAnsi="Arial" w:cs="Arial"/>
          <w:b/>
        </w:rPr>
        <w:t xml:space="preserve">Dr. </w:t>
      </w:r>
      <w:r w:rsidRPr="00D1392D">
        <w:rPr>
          <w:rFonts w:ascii="Arial" w:hAnsi="Arial" w:cs="Arial"/>
          <w:b/>
          <w:highlight w:val="white"/>
        </w:rPr>
        <w:t>MOIA</w:t>
      </w:r>
      <w:r w:rsidRPr="00D1392D">
        <w:rPr>
          <w:rFonts w:ascii="Arial" w:hAnsi="Arial" w:cs="Arial"/>
          <w:highlight w:val="white"/>
        </w:rPr>
        <w:t>,</w:t>
      </w:r>
      <w:r w:rsidRPr="00D1392D">
        <w:rPr>
          <w:rFonts w:ascii="Arial" w:hAnsi="Arial" w:cs="Arial"/>
          <w:b/>
        </w:rPr>
        <w:t xml:space="preserve"> </w:t>
      </w:r>
      <w:r w:rsidRPr="00D1392D">
        <w:rPr>
          <w:rFonts w:ascii="Arial" w:hAnsi="Arial" w:cs="Arial"/>
        </w:rPr>
        <w:t xml:space="preserve">posteriormente se procedió a interrogar al mismo sobre sus planes de trabajo, las motivaciones que tenía para el cargo, su situación patrimonial y fiscal, su experiencia personal y sobre otras cuestiones referidas al conocimiento del propuesto; cuestiones sobre las cuales, a criterio de los miembros de </w:t>
      </w:r>
      <w:smartTag w:uri="urn:schemas-microsoft-com:office:smarttags" w:element="PersonName">
        <w:smartTagPr>
          <w:attr w:name="ProductID" w:val="la Comisi￳n"/>
        </w:smartTagPr>
        <w:r w:rsidRPr="00D1392D">
          <w:rPr>
            <w:rFonts w:ascii="Arial" w:hAnsi="Arial" w:cs="Arial"/>
          </w:rPr>
          <w:t>la Comisión</w:t>
        </w:r>
      </w:smartTag>
      <w:r w:rsidRPr="00D1392D">
        <w:rPr>
          <w:rFonts w:ascii="Arial" w:hAnsi="Arial" w:cs="Arial"/>
        </w:rPr>
        <w:t xml:space="preserve"> que suscriben, ha brindado adecuadas respuestas. </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Igualmente, en el marco de la audiencia pública, en cumplimiento de lo establecido en el inciso d) del artículo 19º del Reglamento del Senado, considerando que sobre su proposición, la participación ciudadana había incorporado adhesiones, pero también impugnaciones y observaciones a su candidatura, especialmente en lo relacionado con su actuación profesional en </w:t>
      </w:r>
      <w:r w:rsidRPr="00D1392D">
        <w:rPr>
          <w:rFonts w:ascii="Arial" w:hAnsi="Arial" w:cs="Arial"/>
        </w:rPr>
        <w:lastRenderedPageBreak/>
        <w:t xml:space="preserve">algunas causas que tramitan en </w:t>
      </w:r>
      <w:smartTag w:uri="urn:schemas-microsoft-com:office:smarttags" w:element="PersonName">
        <w:smartTagPr>
          <w:attr w:name="ProductID" w:val="la Justicia"/>
        </w:smartTagPr>
        <w:r w:rsidRPr="00D1392D">
          <w:rPr>
            <w:rFonts w:ascii="Arial" w:hAnsi="Arial" w:cs="Arial"/>
          </w:rPr>
          <w:t>la Justicia</w:t>
        </w:r>
      </w:smartTag>
      <w:r w:rsidRPr="00D1392D">
        <w:rPr>
          <w:rFonts w:ascii="Arial" w:hAnsi="Arial" w:cs="Arial"/>
        </w:rPr>
        <w:t xml:space="preserve"> provincial, como son las causas: </w:t>
      </w:r>
      <w:proofErr w:type="spellStart"/>
      <w:r w:rsidRPr="00D1392D">
        <w:rPr>
          <w:rFonts w:ascii="Arial" w:hAnsi="Arial" w:cs="Arial"/>
        </w:rPr>
        <w:t>Waigel</w:t>
      </w:r>
      <w:proofErr w:type="spellEnd"/>
      <w:r w:rsidRPr="00D1392D">
        <w:rPr>
          <w:rFonts w:ascii="Arial" w:hAnsi="Arial" w:cs="Arial"/>
        </w:rPr>
        <w:t xml:space="preserve"> y </w:t>
      </w:r>
      <w:proofErr w:type="spellStart"/>
      <w:r w:rsidRPr="00D1392D">
        <w:rPr>
          <w:rFonts w:ascii="Arial" w:hAnsi="Arial" w:cs="Arial"/>
        </w:rPr>
        <w:t>Cía</w:t>
      </w:r>
      <w:proofErr w:type="spellEnd"/>
      <w:r w:rsidRPr="00D1392D">
        <w:rPr>
          <w:rFonts w:ascii="Arial" w:hAnsi="Arial" w:cs="Arial"/>
        </w:rPr>
        <w:t xml:space="preserve"> S.A., Cooperativa Tambera Ltda., </w:t>
      </w:r>
      <w:proofErr w:type="spellStart"/>
      <w:r w:rsidRPr="00D1392D">
        <w:rPr>
          <w:rFonts w:ascii="Arial" w:hAnsi="Arial" w:cs="Arial"/>
        </w:rPr>
        <w:t>Sagemüller</w:t>
      </w:r>
      <w:proofErr w:type="spellEnd"/>
      <w:r w:rsidRPr="00D1392D">
        <w:rPr>
          <w:rFonts w:ascii="Arial" w:hAnsi="Arial" w:cs="Arial"/>
        </w:rPr>
        <w:t xml:space="preserve"> S.A., en razón de lo dispuesto en la última parte del texto legal referido se le dio el derecho de pronunciarse en relación a esas presentaciones. En ese cometido el </w:t>
      </w:r>
      <w:r w:rsidRPr="00D1392D">
        <w:rPr>
          <w:rFonts w:ascii="Arial" w:hAnsi="Arial" w:cs="Arial"/>
          <w:b/>
        </w:rPr>
        <w:t>Dr. MOIA</w:t>
      </w:r>
      <w:r w:rsidRPr="00D1392D">
        <w:rPr>
          <w:rFonts w:ascii="Arial" w:hAnsi="Arial" w:cs="Arial"/>
        </w:rPr>
        <w:t xml:space="preserve"> realizó su descargo efectuando las consideraciones que entendió pertinentes en cada caso y las cuales obran en la versión taquigráfica que forma parte de este expediente. </w:t>
      </w:r>
    </w:p>
    <w:p w:rsidR="00F27A11" w:rsidRPr="00D1392D" w:rsidRDefault="00F27A11" w:rsidP="00F27A11">
      <w:pPr>
        <w:spacing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1392D">
        <w:rPr>
          <w:rFonts w:ascii="Arial" w:hAnsi="Arial" w:cs="Arial"/>
        </w:rPr>
        <w:t>En primer lugar se refirió a la posibilidad que</w:t>
      </w:r>
      <w:r>
        <w:rPr>
          <w:rFonts w:ascii="Arial" w:hAnsi="Arial" w:cs="Arial"/>
        </w:rPr>
        <w:t xml:space="preserve"> </w:t>
      </w:r>
      <w:r w:rsidRPr="00D1392D">
        <w:rPr>
          <w:rFonts w:ascii="Arial" w:hAnsi="Arial" w:cs="Arial"/>
        </w:rPr>
        <w:t xml:space="preserve">su eventual nombramiento en el Juzgado genere el desplazamiento de la causa </w:t>
      </w:r>
      <w:proofErr w:type="spellStart"/>
      <w:r w:rsidRPr="00D1392D">
        <w:rPr>
          <w:rFonts w:ascii="Arial" w:hAnsi="Arial" w:cs="Arial"/>
        </w:rPr>
        <w:t>Waigel</w:t>
      </w:r>
      <w:proofErr w:type="spellEnd"/>
      <w:r w:rsidRPr="00D1392D">
        <w:rPr>
          <w:rFonts w:ascii="Arial" w:hAnsi="Arial" w:cs="Arial"/>
        </w:rPr>
        <w:t xml:space="preserve"> S</w:t>
      </w:r>
      <w:r>
        <w:rPr>
          <w:rFonts w:ascii="Arial" w:hAnsi="Arial" w:cs="Arial"/>
        </w:rPr>
        <w:t>.</w:t>
      </w:r>
      <w:r w:rsidRPr="00D1392D">
        <w:rPr>
          <w:rFonts w:ascii="Arial" w:hAnsi="Arial" w:cs="Arial"/>
        </w:rPr>
        <w:t>A</w:t>
      </w:r>
      <w:r>
        <w:rPr>
          <w:rFonts w:ascii="Arial" w:hAnsi="Arial" w:cs="Arial"/>
        </w:rPr>
        <w:t>.</w:t>
      </w:r>
      <w:r w:rsidRPr="00D1392D">
        <w:rPr>
          <w:rFonts w:ascii="Arial" w:hAnsi="Arial" w:cs="Arial"/>
        </w:rPr>
        <w:t xml:space="preserve"> y Cía</w:t>
      </w:r>
      <w:r>
        <w:rPr>
          <w:rFonts w:ascii="Arial" w:hAnsi="Arial" w:cs="Arial"/>
        </w:rPr>
        <w:t>.</w:t>
      </w:r>
      <w:r w:rsidRPr="00D1392D">
        <w:rPr>
          <w:rFonts w:ascii="Arial" w:hAnsi="Arial" w:cs="Arial"/>
        </w:rPr>
        <w:t xml:space="preserve"> y dijo </w:t>
      </w:r>
      <w:r w:rsidRPr="000B041B">
        <w:rPr>
          <w:rFonts w:ascii="Arial" w:hAnsi="Arial" w:cs="Arial"/>
        </w:rPr>
        <w:t xml:space="preserve">que hizo la consulta al Presidente de </w:t>
      </w:r>
      <w:smartTag w:uri="urn:schemas-microsoft-com:office:smarttags" w:element="PersonName">
        <w:smartTagPr>
          <w:attr w:name="ProductID" w:val="la Sala Civil"/>
        </w:smartTagPr>
        <w:r w:rsidRPr="000B041B">
          <w:rPr>
            <w:rFonts w:ascii="Arial" w:hAnsi="Arial" w:cs="Arial"/>
          </w:rPr>
          <w:t>la Sala Civil</w:t>
        </w:r>
      </w:smartTag>
      <w:r w:rsidRPr="000B041B">
        <w:rPr>
          <w:rFonts w:ascii="Arial" w:hAnsi="Arial" w:cs="Arial"/>
        </w:rPr>
        <w:t xml:space="preserve"> del Superior Tribunal de Justicia quien presentó una nota aclarando que, las excusaciones y las recusaciones son cuestiones propias del ejercicio de la profesión y de la situación de que </w:t>
      </w:r>
      <w:smartTag w:uri="urn:schemas-microsoft-com:office:smarttags" w:element="PersonName">
        <w:smartTagPr>
          <w:attr w:name="ProductID" w:val="la Constituci￳n"/>
        </w:smartTagPr>
        <w:r w:rsidRPr="000B041B">
          <w:rPr>
            <w:rFonts w:ascii="Arial" w:hAnsi="Arial" w:cs="Arial"/>
          </w:rPr>
          <w:t>la Constitución</w:t>
        </w:r>
      </w:smartTag>
      <w:r w:rsidRPr="000B041B">
        <w:rPr>
          <w:rFonts w:ascii="Arial" w:hAnsi="Arial" w:cs="Arial"/>
        </w:rPr>
        <w:t xml:space="preserve"> exige especialidad; agregó que por el Senado han pasado distintos Magistrados, aspirantes a Magistrados, que se desempeñaron en el cargo; por los Jueces de Familia que tuvieron recientemente, tuvieron que excusarse en determinadas causas; que se había aprobado el pliego de la doctora </w:t>
      </w:r>
      <w:proofErr w:type="spellStart"/>
      <w:r w:rsidRPr="000B041B">
        <w:rPr>
          <w:rFonts w:ascii="Arial" w:hAnsi="Arial" w:cs="Arial"/>
        </w:rPr>
        <w:t>Mizawak</w:t>
      </w:r>
      <w:proofErr w:type="spellEnd"/>
      <w:r w:rsidRPr="000B041B">
        <w:rPr>
          <w:rFonts w:ascii="Arial" w:hAnsi="Arial" w:cs="Arial"/>
        </w:rPr>
        <w:t xml:space="preserve"> que fue Fiscal de Estado que generó también excusaciones por ser miembro del Superior Tribunal en materia contencioso administrativa.</w:t>
      </w:r>
      <w:r w:rsidRPr="00D1392D">
        <w:rPr>
          <w:rFonts w:ascii="Arial" w:hAnsi="Arial" w:cs="Arial"/>
        </w:rPr>
        <w:t xml:space="preserve"> </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Ello aparece reforzado por la nota que el Presidente de </w:t>
      </w:r>
      <w:smartTag w:uri="urn:schemas-microsoft-com:office:smarttags" w:element="PersonName">
        <w:smartTagPr>
          <w:attr w:name="ProductID" w:val="la Sala Civil"/>
        </w:smartTagPr>
        <w:r w:rsidRPr="00D1392D">
          <w:rPr>
            <w:rFonts w:ascii="Arial" w:hAnsi="Arial" w:cs="Arial"/>
          </w:rPr>
          <w:t>la Sala Civil</w:t>
        </w:r>
      </w:smartTag>
      <w:r w:rsidRPr="00D1392D">
        <w:rPr>
          <w:rFonts w:ascii="Arial" w:hAnsi="Arial" w:cs="Arial"/>
        </w:rPr>
        <w:t xml:space="preserve"> y Comercial del Superior Tribunal de Justicia de </w:t>
      </w:r>
      <w:smartTag w:uri="urn:schemas-microsoft-com:office:smarttags" w:element="PersonName">
        <w:smartTagPr>
          <w:attr w:name="ProductID" w:val="la Provincia"/>
        </w:smartTagPr>
        <w:r w:rsidRPr="00D1392D">
          <w:rPr>
            <w:rFonts w:ascii="Arial" w:hAnsi="Arial" w:cs="Arial"/>
          </w:rPr>
          <w:t>la Provincia</w:t>
        </w:r>
      </w:smartTag>
      <w:r w:rsidRPr="00D1392D">
        <w:rPr>
          <w:rFonts w:ascii="Arial" w:hAnsi="Arial" w:cs="Arial"/>
        </w:rPr>
        <w:t xml:space="preserve"> de Entre Ríos, Dr. Emilio E. A. Castrillón, dirige al Sr. Presidente de </w:t>
      </w:r>
      <w:smartTag w:uri="urn:schemas-microsoft-com:office:smarttags" w:element="PersonName">
        <w:smartTagPr>
          <w:attr w:name="ProductID" w:val="la Comisi￳n"/>
        </w:smartTagPr>
        <w:r w:rsidRPr="00D1392D">
          <w:rPr>
            <w:rFonts w:ascii="Arial" w:hAnsi="Arial" w:cs="Arial"/>
          </w:rPr>
          <w:t>la Comisión</w:t>
        </w:r>
      </w:smartTag>
      <w:r w:rsidRPr="00D1392D">
        <w:rPr>
          <w:rFonts w:ascii="Arial" w:hAnsi="Arial" w:cs="Arial"/>
        </w:rPr>
        <w:t xml:space="preserve"> en fecha 24 de Noviembre de 2016 en la que sostiene que: “... </w:t>
      </w:r>
      <w:r w:rsidRPr="00864B42">
        <w:rPr>
          <w:rFonts w:ascii="Arial" w:hAnsi="Arial" w:cs="Arial"/>
          <w:i/>
        </w:rPr>
        <w:t xml:space="preserve">esa Sala no tiene objeción alguna a la designación de ningún candidato a juez, en tanto se ha respetado el sistema constitucional de designación, privilegiándose el sistema de concursos abiertos, igualitarios y transparentes… ante las versiones sobre la afectación que la tramitación del presente pliego provocaría alteraciones en la prestación del servicio de justicia, es necesario considerar que ello no es así. Las eventuales excusaciones o recusaciones que se puedan plantear ante un caso concreto resultan consecuencia natural de la especialidad valorada en el concurso respectivo. Es que la especialidad que pondera </w:t>
      </w:r>
      <w:smartTag w:uri="urn:schemas-microsoft-com:office:smarttags" w:element="PersonName">
        <w:smartTagPr>
          <w:attr w:name="ProductID" w:val="la Constituci￳n"/>
        </w:smartTagPr>
        <w:r w:rsidRPr="00864B42">
          <w:rPr>
            <w:rFonts w:ascii="Arial" w:hAnsi="Arial" w:cs="Arial"/>
            <w:i/>
          </w:rPr>
          <w:t>la Constitución</w:t>
        </w:r>
      </w:smartTag>
      <w:r w:rsidRPr="00864B42">
        <w:rPr>
          <w:rFonts w:ascii="Arial" w:hAnsi="Arial" w:cs="Arial"/>
          <w:i/>
        </w:rPr>
        <w:t xml:space="preserve"> para el desempeño del cargo reputa el haber transitado procesos judiciales de la materia en la que se concursó, lo que en </w:t>
      </w:r>
      <w:r w:rsidRPr="00864B42">
        <w:rPr>
          <w:rFonts w:ascii="Arial" w:hAnsi="Arial" w:cs="Arial"/>
          <w:i/>
        </w:rPr>
        <w:lastRenderedPageBreak/>
        <w:t xml:space="preserve">el caso particular de este expediente implica haber litigado en el único juzgado especializado que hay en la jurisdicción. De ahí a considerar las eventuales excusaciones como un </w:t>
      </w:r>
      <w:proofErr w:type="spellStart"/>
      <w:r w:rsidRPr="00864B42">
        <w:rPr>
          <w:rFonts w:ascii="Arial" w:hAnsi="Arial" w:cs="Arial"/>
          <w:i/>
        </w:rPr>
        <w:t>obstativo</w:t>
      </w:r>
      <w:proofErr w:type="spellEnd"/>
      <w:r w:rsidRPr="00864B42">
        <w:rPr>
          <w:rFonts w:ascii="Arial" w:hAnsi="Arial" w:cs="Arial"/>
          <w:i/>
        </w:rPr>
        <w:t xml:space="preserve"> para la designación como juez marginaría del concurso a los abogados en ejercicio de la profesión liberal, que paradojalmente, litigan ante esos estrados especializándose en la materia</w:t>
      </w:r>
      <w:r w:rsidRPr="00D1392D">
        <w:rPr>
          <w:rFonts w:ascii="Arial" w:hAnsi="Arial" w:cs="Arial"/>
        </w:rPr>
        <w:t>.”.</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Más adelante, el propuesto explicó su actuación y los hechos de distintas causas señalando que la causa “</w:t>
      </w:r>
      <w:proofErr w:type="spellStart"/>
      <w:r w:rsidRPr="00D1392D">
        <w:rPr>
          <w:rFonts w:ascii="Arial" w:hAnsi="Arial" w:cs="Arial"/>
        </w:rPr>
        <w:t>Sagemüller</w:t>
      </w:r>
      <w:proofErr w:type="spellEnd"/>
      <w:r w:rsidRPr="00D1392D">
        <w:rPr>
          <w:rFonts w:ascii="Arial" w:hAnsi="Arial" w:cs="Arial"/>
        </w:rPr>
        <w:t xml:space="preserve">” que fue muy resonada hoy está terminada, el 28 de febrero empezó a pagar la última cuota de su concurso preventivo sin que haya ningún tipo de queja, crítica o reclamo. Los otros dos concursos que se nombran </w:t>
      </w:r>
      <w:proofErr w:type="spellStart"/>
      <w:r w:rsidRPr="00D1392D">
        <w:rPr>
          <w:rFonts w:ascii="Arial" w:hAnsi="Arial" w:cs="Arial"/>
        </w:rPr>
        <w:t>Popelka</w:t>
      </w:r>
      <w:proofErr w:type="spellEnd"/>
      <w:r w:rsidRPr="00D1392D">
        <w:rPr>
          <w:rFonts w:ascii="Arial" w:hAnsi="Arial" w:cs="Arial"/>
        </w:rPr>
        <w:t xml:space="preserve"> de </w:t>
      </w:r>
      <w:proofErr w:type="spellStart"/>
      <w:r w:rsidRPr="00D1392D">
        <w:rPr>
          <w:rFonts w:ascii="Arial" w:hAnsi="Arial" w:cs="Arial"/>
        </w:rPr>
        <w:t>Sagemüller</w:t>
      </w:r>
      <w:proofErr w:type="spellEnd"/>
      <w:r w:rsidRPr="00D1392D">
        <w:rPr>
          <w:rFonts w:ascii="Arial" w:hAnsi="Arial" w:cs="Arial"/>
        </w:rPr>
        <w:t xml:space="preserve"> y </w:t>
      </w:r>
      <w:proofErr w:type="spellStart"/>
      <w:r w:rsidRPr="00D1392D">
        <w:rPr>
          <w:rFonts w:ascii="Arial" w:hAnsi="Arial" w:cs="Arial"/>
        </w:rPr>
        <w:t>Sagemüller</w:t>
      </w:r>
      <w:proofErr w:type="spellEnd"/>
      <w:r w:rsidRPr="00D1392D">
        <w:rPr>
          <w:rFonts w:ascii="Arial" w:hAnsi="Arial" w:cs="Arial"/>
        </w:rPr>
        <w:t xml:space="preserve"> Francisco, están terminados hace 4 años. Agregó que a la causa “</w:t>
      </w:r>
      <w:proofErr w:type="spellStart"/>
      <w:r w:rsidRPr="00D1392D">
        <w:rPr>
          <w:rFonts w:ascii="Arial" w:hAnsi="Arial" w:cs="Arial"/>
        </w:rPr>
        <w:t>Waigel</w:t>
      </w:r>
      <w:proofErr w:type="spellEnd"/>
      <w:r w:rsidRPr="00D1392D">
        <w:rPr>
          <w:rFonts w:ascii="Arial" w:hAnsi="Arial" w:cs="Arial"/>
        </w:rPr>
        <w:t xml:space="preserve">” hay que desmembrarla, el concurso preventivo que terminó en quiebra, hoy no tiene nada más que resolver que subastas, que lo podría hacer el mismo Juez de Ejecuciones, porque lo que hay son bienes a subastar que están en el patrimonio de la fallida, se liquidan esos bienes y se hace la distribución. El resto de las causas que se iniciaron, que son de muy reciente data, se iniciaron 29 procesos, de los cuales 19 terminaron por transacción o sea que quedan sólo 10 que se han iniciado en el último año y que recién están en etapa de prueba. O sea que no se verían afectados en nada porque el Juez no puede conocer más allá de lo que se produzca en la prueba. O sea, hoy esas 10 causas, 3 están recién planteadas y 7 están en etapa de prueba, no tendrían ningún retraso posible. En cuanto al caso </w:t>
      </w:r>
      <w:proofErr w:type="spellStart"/>
      <w:r w:rsidRPr="00D1392D">
        <w:rPr>
          <w:rFonts w:ascii="Arial" w:hAnsi="Arial" w:cs="Arial"/>
        </w:rPr>
        <w:t>CoTaPa</w:t>
      </w:r>
      <w:proofErr w:type="spellEnd"/>
      <w:r w:rsidRPr="00D1392D">
        <w:rPr>
          <w:rFonts w:ascii="Arial" w:hAnsi="Arial" w:cs="Arial"/>
        </w:rPr>
        <w:t xml:space="preserve"> señaló que </w:t>
      </w:r>
      <w:smartTag w:uri="urn:schemas-microsoft-com:office:smarttags" w:element="PersonName">
        <w:smartTagPr>
          <w:attr w:name="ProductID" w:val="la Cooperativa Tambera"/>
        </w:smartTagPr>
        <w:r w:rsidRPr="00D1392D">
          <w:rPr>
            <w:rFonts w:ascii="Arial" w:hAnsi="Arial" w:cs="Arial"/>
          </w:rPr>
          <w:t>la Cooperativa Tambera</w:t>
        </w:r>
      </w:smartTag>
      <w:r w:rsidRPr="00D1392D">
        <w:rPr>
          <w:rFonts w:ascii="Arial" w:hAnsi="Arial" w:cs="Arial"/>
        </w:rPr>
        <w:t xml:space="preserve"> Paraná es una quiebra que lo único que tiene que hacer es liquidar cinco vehículos y la participación que tenía en </w:t>
      </w:r>
      <w:proofErr w:type="spellStart"/>
      <w:r w:rsidRPr="00D1392D">
        <w:rPr>
          <w:rFonts w:ascii="Arial" w:hAnsi="Arial" w:cs="Arial"/>
        </w:rPr>
        <w:t>Cotapa</w:t>
      </w:r>
      <w:proofErr w:type="spellEnd"/>
      <w:r w:rsidRPr="00D1392D">
        <w:rPr>
          <w:rFonts w:ascii="Arial" w:hAnsi="Arial" w:cs="Arial"/>
        </w:rPr>
        <w:t xml:space="preserve"> S.A., eso por un lado. </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En otro orden de cosas el </w:t>
      </w:r>
      <w:r w:rsidRPr="00D1392D">
        <w:rPr>
          <w:rFonts w:ascii="Arial" w:hAnsi="Arial" w:cs="Arial"/>
          <w:b/>
        </w:rPr>
        <w:t xml:space="preserve">Dr. MOIA </w:t>
      </w:r>
      <w:r w:rsidRPr="00D1392D">
        <w:rPr>
          <w:rFonts w:ascii="Arial" w:hAnsi="Arial" w:cs="Arial"/>
        </w:rPr>
        <w:t xml:space="preserve">sostuvo respecto de otra de las impugnaciones que la sentencia de </w:t>
      </w:r>
      <w:smartTag w:uri="urn:schemas-microsoft-com:office:smarttags" w:element="PersonName">
        <w:smartTagPr>
          <w:attr w:name="ProductID" w:val="la Sala"/>
        </w:smartTagPr>
        <w:r w:rsidRPr="00D1392D">
          <w:rPr>
            <w:rFonts w:ascii="Arial" w:hAnsi="Arial" w:cs="Arial"/>
          </w:rPr>
          <w:t>la Sala</w:t>
        </w:r>
      </w:smartTag>
      <w:r w:rsidRPr="00D1392D">
        <w:rPr>
          <w:rFonts w:ascii="Arial" w:hAnsi="Arial" w:cs="Arial"/>
        </w:rPr>
        <w:t xml:space="preserve"> 3 de </w:t>
      </w:r>
      <w:smartTag w:uri="urn:schemas-microsoft-com:office:smarttags" w:element="PersonName">
        <w:smartTagPr>
          <w:attr w:name="ProductID" w:val="la C￡mara Civil"/>
        </w:smartTagPr>
        <w:r w:rsidRPr="00D1392D">
          <w:rPr>
            <w:rFonts w:ascii="Arial" w:hAnsi="Arial" w:cs="Arial"/>
          </w:rPr>
          <w:t>la Cámara Civil</w:t>
        </w:r>
      </w:smartTag>
      <w:r w:rsidRPr="00D1392D">
        <w:rPr>
          <w:rFonts w:ascii="Arial" w:hAnsi="Arial" w:cs="Arial"/>
        </w:rPr>
        <w:t xml:space="preserve"> y Comercial, que está agregada con la contestación de las impugnaciones, da suficiente cabida de lo que sí fue el concurso preventivo y la posterior quiebra, de la empresa “Miguel </w:t>
      </w:r>
      <w:proofErr w:type="spellStart"/>
      <w:r w:rsidRPr="00D1392D">
        <w:rPr>
          <w:rFonts w:ascii="Arial" w:hAnsi="Arial" w:cs="Arial"/>
        </w:rPr>
        <w:t>Waigel</w:t>
      </w:r>
      <w:proofErr w:type="spellEnd"/>
      <w:r w:rsidRPr="00D1392D">
        <w:rPr>
          <w:rFonts w:ascii="Arial" w:hAnsi="Arial" w:cs="Arial"/>
        </w:rPr>
        <w:t xml:space="preserve"> y Cía. SA”</w:t>
      </w:r>
      <w:r>
        <w:rPr>
          <w:rFonts w:ascii="Arial" w:hAnsi="Arial" w:cs="Arial"/>
        </w:rPr>
        <w:t>.</w:t>
      </w:r>
      <w:r w:rsidRPr="00D1392D">
        <w:rPr>
          <w:rFonts w:ascii="Arial" w:hAnsi="Arial" w:cs="Arial"/>
        </w:rPr>
        <w:t xml:space="preserve"> Y agregó que si hay investigación de ilícitos, que ha habido en materia penal, cuáles son las líneas que se siguieron, de las cuales, dijo ser absolutamente ajeno y que la propia sentencia de </w:t>
      </w:r>
      <w:smartTag w:uri="urn:schemas-microsoft-com:office:smarttags" w:element="PersonName">
        <w:smartTagPr>
          <w:attr w:name="ProductID" w:val="la C￡mara"/>
        </w:smartTagPr>
        <w:r w:rsidRPr="00D1392D">
          <w:rPr>
            <w:rFonts w:ascii="Arial" w:hAnsi="Arial" w:cs="Arial"/>
          </w:rPr>
          <w:t>la Cámara</w:t>
        </w:r>
      </w:smartTag>
      <w:r w:rsidRPr="00D1392D">
        <w:rPr>
          <w:rFonts w:ascii="Arial" w:hAnsi="Arial" w:cs="Arial"/>
        </w:rPr>
        <w:t xml:space="preserve"> da </w:t>
      </w:r>
      <w:r w:rsidRPr="00D1392D">
        <w:rPr>
          <w:rFonts w:ascii="Arial" w:hAnsi="Arial" w:cs="Arial"/>
        </w:rPr>
        <w:lastRenderedPageBreak/>
        <w:t xml:space="preserve">cuenta de que si hubo un vaciamiento penalmente punible, eso estuvo establecido previamente. Y posteriormente, en un plan organizado, que la justicia penal está investigando, en ese Plan Master que menciona el doctor Marfil en su voto y que se desarrolló con otros profesionales al margen de su intervención, agregando que su intervención se limitó a la presentación del concurso preventivo, hasta la etapa de verificación y que desde abril del año 2010, no participó más en el concurso por diferencias en la gestión con quienes eran en ese momento sus clientes. Además, con respecto a la impugnación que se hiciera respecto del caso de la “Cooperativa Tambera Paraná”, señaló que nace de una confusión en cuanto a los hechos de la causa, porque se narran hechos como de que hubo un vaciamiento en perjuicio de los acreedores y demás, cuando en realidad, </w:t>
      </w:r>
      <w:smartTag w:uri="urn:schemas-microsoft-com:office:smarttags" w:element="PersonName">
        <w:smartTagPr>
          <w:attr w:name="ProductID" w:val="la C￡mara"/>
        </w:smartTagPr>
        <w:r w:rsidRPr="00D1392D">
          <w:rPr>
            <w:rFonts w:ascii="Arial" w:hAnsi="Arial" w:cs="Arial"/>
          </w:rPr>
          <w:t>la Cámara</w:t>
        </w:r>
      </w:smartTag>
      <w:r w:rsidRPr="00D1392D">
        <w:rPr>
          <w:rFonts w:ascii="Arial" w:hAnsi="Arial" w:cs="Arial"/>
        </w:rPr>
        <w:t xml:space="preserve"> (de Senadores) y el Estado Provincial participaron en un plan de salvataje de la estructura productiva de COTAPA, tal como se hizo con </w:t>
      </w:r>
      <w:proofErr w:type="spellStart"/>
      <w:r w:rsidRPr="00D1392D">
        <w:rPr>
          <w:rFonts w:ascii="Arial" w:hAnsi="Arial" w:cs="Arial"/>
        </w:rPr>
        <w:t>Sagemuller</w:t>
      </w:r>
      <w:proofErr w:type="spellEnd"/>
      <w:r w:rsidRPr="00D1392D">
        <w:rPr>
          <w:rFonts w:ascii="Arial" w:hAnsi="Arial" w:cs="Arial"/>
        </w:rPr>
        <w:t xml:space="preserve"> SA; se remitió a los dos concursos que señaló pudo llevar hasta la homologación y preservación de la fuente de trabajo y para esclarecer interpretaciones señaló que en ese trámite intervino desde </w:t>
      </w:r>
      <w:smartTag w:uri="urn:schemas-microsoft-com:office:smarttags" w:element="PersonName">
        <w:smartTagPr>
          <w:attr w:name="ProductID" w:val="la Fiscal￭a"/>
        </w:smartTagPr>
        <w:r w:rsidRPr="00D1392D">
          <w:rPr>
            <w:rFonts w:ascii="Arial" w:hAnsi="Arial" w:cs="Arial"/>
          </w:rPr>
          <w:t>la Fiscalía</w:t>
        </w:r>
      </w:smartTag>
      <w:r w:rsidRPr="00D1392D">
        <w:rPr>
          <w:rFonts w:ascii="Arial" w:hAnsi="Arial" w:cs="Arial"/>
        </w:rPr>
        <w:t xml:space="preserve"> de Estado hasta </w:t>
      </w:r>
      <w:smartTag w:uri="urn:schemas-microsoft-com:office:smarttags" w:element="PersonName">
        <w:smartTagPr>
          <w:attr w:name="ProductID" w:val="la Secretar￭a General"/>
        </w:smartTagPr>
        <w:r w:rsidRPr="00D1392D">
          <w:rPr>
            <w:rFonts w:ascii="Arial" w:hAnsi="Arial" w:cs="Arial"/>
          </w:rPr>
          <w:t>la Secretaría General</w:t>
        </w:r>
      </w:smartTag>
      <w:r w:rsidRPr="00D1392D">
        <w:rPr>
          <w:rFonts w:ascii="Arial" w:hAnsi="Arial" w:cs="Arial"/>
        </w:rPr>
        <w:t xml:space="preserve"> de Gobierno, para finalmente agregar que la quiebra de </w:t>
      </w:r>
      <w:proofErr w:type="spellStart"/>
      <w:r w:rsidRPr="00D1392D">
        <w:rPr>
          <w:rFonts w:ascii="Arial" w:hAnsi="Arial" w:cs="Arial"/>
        </w:rPr>
        <w:t>Cotapa</w:t>
      </w:r>
      <w:proofErr w:type="spellEnd"/>
      <w:r w:rsidRPr="00D1392D">
        <w:rPr>
          <w:rFonts w:ascii="Arial" w:hAnsi="Arial" w:cs="Arial"/>
        </w:rPr>
        <w:t xml:space="preserve"> se debió a un pasivo fiscal que no se pudo refinanciar.</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Se le preguntó si al tomar la decisión de la presentación de la convocatoria y asumir la dirección técnica, ¿No evaluó el perjuicio que podía significar, una enorme cantidad de personas de la ciudad de Crespo, como realmente resultó en definitiva, creo que ustedes denunciaron 900 acreedores y terminaron siendo más de 1500 los acreedores, eso no se evaluó previamente antes de presentar la convocatoria? A lo que respondió que con tres pedidos de quiebra como tenía en su momento, la alternativa menos mala para el estado de insolvencia fue la que se tomó. Señaló que la posibilidad de renegociar y mantener la actividad es una alternativa mucho más preferible que la quiebra, agregando que Miguel </w:t>
      </w:r>
      <w:proofErr w:type="spellStart"/>
      <w:r w:rsidRPr="00D1392D">
        <w:rPr>
          <w:rFonts w:ascii="Arial" w:hAnsi="Arial" w:cs="Arial"/>
        </w:rPr>
        <w:t>Waigel</w:t>
      </w:r>
      <w:proofErr w:type="spellEnd"/>
      <w:r w:rsidRPr="00D1392D">
        <w:rPr>
          <w:rFonts w:ascii="Arial" w:hAnsi="Arial" w:cs="Arial"/>
        </w:rPr>
        <w:t xml:space="preserve"> SA y Cía., según los balances tenía una situación de insolvencia muy grave que planteaba o la quiebra y la liquidación de lo que había o directamente la posibilidad de reestructurar ese pasivo y empezar a hacer pagos, que es lo que se planteó preliminarmente, aclarando que se refería únicamente a lo actuado mientras </w:t>
      </w:r>
      <w:r w:rsidRPr="00D1392D">
        <w:rPr>
          <w:rFonts w:ascii="Arial" w:hAnsi="Arial" w:cs="Arial"/>
        </w:rPr>
        <w:lastRenderedPageBreak/>
        <w:t>él participó y que no participó en la formulación de las propuestas. Y finalizando dijo que siempre tuvo por norte una cuestión concreta, la preservación de la empresa útil a la sociedad, la preservación de las fuentes de trabajo.</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 xml:space="preserve">Todas estas respuestas, vertidas por el postulante, sumado a que no se ha comprobado sanción alguna por inconducta ninguna, a criterio de quienes suscriben el presente despacho, resultaron satisfactorias y no dan pautas de que el </w:t>
      </w:r>
      <w:r w:rsidRPr="00D1392D">
        <w:rPr>
          <w:rFonts w:ascii="Arial" w:hAnsi="Arial" w:cs="Arial"/>
          <w:b/>
        </w:rPr>
        <w:t>Dr. MOIA</w:t>
      </w:r>
      <w:r w:rsidRPr="00D1392D">
        <w:rPr>
          <w:rFonts w:ascii="Arial" w:hAnsi="Arial" w:cs="Arial"/>
        </w:rPr>
        <w:t xml:space="preserve"> fuera a tener una actuación judicial ajena a la imparcialidad, independencia, veracidad, celeridad, eficiencia, honradez y legalidad.</w:t>
      </w:r>
    </w:p>
    <w:p w:rsidR="00F27A11" w:rsidRPr="00D1392D" w:rsidRDefault="00F27A11" w:rsidP="00F27A11">
      <w:pPr>
        <w:spacing w:line="360" w:lineRule="auto"/>
        <w:ind w:firstLine="2829"/>
        <w:jc w:val="both"/>
        <w:rPr>
          <w:rFonts w:ascii="Arial" w:hAnsi="Arial" w:cs="Arial"/>
        </w:rPr>
      </w:pPr>
      <w:r w:rsidRPr="00D1392D">
        <w:rPr>
          <w:rFonts w:ascii="Arial" w:hAnsi="Arial" w:cs="Arial"/>
        </w:rPr>
        <w:t>Es por todo lo expuesto, que esta Comisión de Asuntos Constitucionales y Acuerdos, aconseja conceder el Acuerdo Constitucional solicitado por el Poder Ejecutivo Provincial.</w:t>
      </w:r>
    </w:p>
    <w:p w:rsidR="00F27A11" w:rsidRDefault="00F27A11" w:rsidP="00F27A11">
      <w:pPr>
        <w:spacing w:before="100" w:line="360" w:lineRule="auto"/>
        <w:jc w:val="center"/>
        <w:rPr>
          <w:rFonts w:ascii="Arial" w:hAnsi="Arial" w:cs="Arial"/>
          <w:b/>
        </w:rPr>
      </w:pPr>
    </w:p>
    <w:p w:rsidR="00F27A11" w:rsidRPr="00D1392D" w:rsidRDefault="00F27A11" w:rsidP="00F27A11">
      <w:pPr>
        <w:spacing w:before="100" w:line="360" w:lineRule="auto"/>
        <w:jc w:val="center"/>
        <w:rPr>
          <w:rFonts w:ascii="Arial" w:hAnsi="Arial" w:cs="Arial"/>
        </w:rPr>
      </w:pPr>
      <w:r w:rsidRPr="00D1392D">
        <w:rPr>
          <w:rFonts w:ascii="Arial" w:hAnsi="Arial" w:cs="Arial"/>
          <w:b/>
        </w:rPr>
        <w:t>LA HONORABLE CÁMARA DE SENADORES DE ENTRE RÍOS</w:t>
      </w:r>
    </w:p>
    <w:p w:rsidR="00F27A11" w:rsidRPr="00D1392D" w:rsidRDefault="00F27A11" w:rsidP="00F27A11">
      <w:pPr>
        <w:keepNext/>
        <w:spacing w:before="240" w:after="60" w:line="360" w:lineRule="auto"/>
        <w:jc w:val="center"/>
        <w:rPr>
          <w:rFonts w:ascii="Arial" w:hAnsi="Arial" w:cs="Arial"/>
          <w:b/>
        </w:rPr>
      </w:pPr>
      <w:r w:rsidRPr="00D1392D">
        <w:rPr>
          <w:rFonts w:ascii="Arial" w:hAnsi="Arial" w:cs="Arial"/>
          <w:b/>
        </w:rPr>
        <w:t>RESUELVE</w:t>
      </w:r>
    </w:p>
    <w:p w:rsidR="00F27A11" w:rsidRPr="00D1392D" w:rsidRDefault="00F27A11" w:rsidP="00F27A11">
      <w:pPr>
        <w:spacing w:line="360" w:lineRule="auto"/>
        <w:jc w:val="both"/>
        <w:rPr>
          <w:rFonts w:ascii="Arial" w:hAnsi="Arial" w:cs="Arial"/>
        </w:rPr>
      </w:pPr>
      <w:r w:rsidRPr="00D1392D">
        <w:rPr>
          <w:rFonts w:ascii="Arial" w:hAnsi="Arial" w:cs="Arial"/>
          <w:b/>
          <w:u w:val="single"/>
        </w:rPr>
        <w:t>ARTÍCULO 1º</w:t>
      </w:r>
      <w:r w:rsidRPr="00D1392D">
        <w:rPr>
          <w:rFonts w:ascii="Arial" w:hAnsi="Arial" w:cs="Arial"/>
        </w:rPr>
        <w:t xml:space="preserve">: Prestar el Acuerdo Constitucional, solicitado por el Poder Ejecutivo, para nombrar Juez del Juzgado Civil y Comercial Nº 9 de la ciudad de Paraná, al  </w:t>
      </w:r>
      <w:r w:rsidRPr="00D1392D">
        <w:rPr>
          <w:rFonts w:ascii="Arial" w:hAnsi="Arial" w:cs="Arial"/>
          <w:b/>
        </w:rPr>
        <w:t>Dr.</w:t>
      </w:r>
      <w:r w:rsidRPr="00D1392D">
        <w:rPr>
          <w:rFonts w:ascii="Arial" w:hAnsi="Arial" w:cs="Arial"/>
          <w:highlight w:val="white"/>
        </w:rPr>
        <w:t xml:space="preserve"> </w:t>
      </w:r>
      <w:r w:rsidRPr="00D1392D">
        <w:rPr>
          <w:rFonts w:ascii="Arial" w:hAnsi="Arial" w:cs="Arial"/>
          <w:b/>
          <w:highlight w:val="white"/>
        </w:rPr>
        <w:t>Ángel Luis MOIA</w:t>
      </w:r>
      <w:r w:rsidRPr="00D1392D">
        <w:rPr>
          <w:rFonts w:ascii="Arial" w:hAnsi="Arial" w:cs="Arial"/>
          <w:highlight w:val="white"/>
        </w:rPr>
        <w:t>,</w:t>
      </w:r>
      <w:r w:rsidRPr="00D1392D">
        <w:rPr>
          <w:rFonts w:ascii="Arial" w:hAnsi="Arial" w:cs="Arial"/>
          <w:b/>
          <w:highlight w:val="white"/>
        </w:rPr>
        <w:t xml:space="preserve"> </w:t>
      </w:r>
      <w:r w:rsidRPr="00D1392D">
        <w:rPr>
          <w:rFonts w:ascii="Arial" w:hAnsi="Arial" w:cs="Arial"/>
        </w:rPr>
        <w:t xml:space="preserve">D.N.I. Nº 27.006.231, clase 1979.- </w:t>
      </w:r>
    </w:p>
    <w:p w:rsidR="00F27A11" w:rsidRPr="00D1392D" w:rsidRDefault="00F27A11" w:rsidP="00F27A11">
      <w:pPr>
        <w:spacing w:before="100" w:line="360" w:lineRule="auto"/>
        <w:jc w:val="both"/>
        <w:rPr>
          <w:rFonts w:ascii="Arial" w:hAnsi="Arial" w:cs="Arial"/>
        </w:rPr>
      </w:pPr>
      <w:r w:rsidRPr="00D1392D">
        <w:rPr>
          <w:rFonts w:ascii="Arial" w:hAnsi="Arial" w:cs="Arial"/>
          <w:b/>
          <w:u w:val="single"/>
        </w:rPr>
        <w:t>ARTÍCULO 2º</w:t>
      </w:r>
      <w:r w:rsidRPr="00D1392D">
        <w:rPr>
          <w:rFonts w:ascii="Arial" w:hAnsi="Arial" w:cs="Arial"/>
        </w:rPr>
        <w:t>: Comuníquese, etc.-</w:t>
      </w:r>
    </w:p>
    <w:p w:rsidR="00F27A11" w:rsidRPr="00D1392D" w:rsidRDefault="00F27A11" w:rsidP="00F27A11">
      <w:pPr>
        <w:spacing w:line="360" w:lineRule="auto"/>
        <w:jc w:val="both"/>
        <w:rPr>
          <w:rFonts w:ascii="Arial" w:hAnsi="Arial" w:cs="Arial"/>
          <w:b/>
        </w:rPr>
      </w:pPr>
    </w:p>
    <w:p w:rsidR="00F27A11" w:rsidRPr="00D1392D" w:rsidRDefault="00F27A11" w:rsidP="00F27A11">
      <w:pPr>
        <w:spacing w:line="360" w:lineRule="auto"/>
        <w:ind w:left="2124"/>
        <w:jc w:val="both"/>
        <w:rPr>
          <w:rFonts w:ascii="Arial" w:hAnsi="Arial" w:cs="Arial"/>
        </w:rPr>
      </w:pPr>
      <w:r w:rsidRPr="00D1392D">
        <w:rPr>
          <w:rFonts w:ascii="Arial" w:hAnsi="Arial" w:cs="Arial"/>
          <w:b/>
        </w:rPr>
        <w:t xml:space="preserve">       PARANÁ, 28 de Marzo de 2017</w:t>
      </w:r>
      <w:r w:rsidRPr="00D1392D">
        <w:rPr>
          <w:rFonts w:ascii="Arial" w:hAnsi="Arial" w:cs="Arial"/>
        </w:rPr>
        <w:t>. Sala de Comisiones.-</w:t>
      </w:r>
    </w:p>
    <w:p w:rsidR="00F27A11" w:rsidRDefault="00F27A11" w:rsidP="00F27A11">
      <w:pPr>
        <w:jc w:val="both"/>
        <w:rPr>
          <w:rFonts w:ascii="Arial" w:hAnsi="Arial" w:cs="Arial"/>
          <w:b/>
        </w:rPr>
      </w:pPr>
    </w:p>
    <w:p w:rsidR="00F27A11" w:rsidRPr="00D1392D" w:rsidRDefault="00F27A11" w:rsidP="00F27A11">
      <w:pPr>
        <w:jc w:val="both"/>
        <w:rPr>
          <w:rFonts w:ascii="Arial" w:hAnsi="Arial" w:cs="Arial"/>
        </w:rPr>
      </w:pPr>
      <w:r w:rsidRPr="00D1392D">
        <w:rPr>
          <w:rFonts w:ascii="Arial" w:hAnsi="Arial" w:cs="Arial"/>
          <w:b/>
        </w:rPr>
        <w:t>LARRARTE</w:t>
      </w:r>
      <w:r w:rsidRPr="00D1392D">
        <w:rPr>
          <w:rFonts w:ascii="Arial" w:hAnsi="Arial" w:cs="Arial"/>
        </w:rPr>
        <w:t xml:space="preserve">, Lucas </w:t>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b/>
        </w:rPr>
        <w:t>GIANO</w:t>
      </w:r>
      <w:r w:rsidRPr="00D1392D">
        <w:rPr>
          <w:rFonts w:ascii="Arial" w:hAnsi="Arial" w:cs="Arial"/>
        </w:rPr>
        <w:t>, Ángel F.</w:t>
      </w:r>
    </w:p>
    <w:p w:rsidR="00F27A11" w:rsidRPr="00D1392D" w:rsidRDefault="00F27A11" w:rsidP="00F27A11">
      <w:pPr>
        <w:jc w:val="both"/>
        <w:rPr>
          <w:rFonts w:ascii="Arial" w:hAnsi="Arial" w:cs="Arial"/>
        </w:rPr>
      </w:pPr>
    </w:p>
    <w:p w:rsidR="00F27A11" w:rsidRDefault="00F27A11" w:rsidP="00F27A11">
      <w:pPr>
        <w:jc w:val="both"/>
        <w:rPr>
          <w:rFonts w:ascii="Arial" w:hAnsi="Arial" w:cs="Arial"/>
          <w:b/>
        </w:rPr>
      </w:pPr>
    </w:p>
    <w:p w:rsidR="00F27A11" w:rsidRPr="00D1392D" w:rsidRDefault="00F27A11" w:rsidP="00F27A11">
      <w:pPr>
        <w:jc w:val="both"/>
        <w:rPr>
          <w:rFonts w:ascii="Arial" w:hAnsi="Arial" w:cs="Arial"/>
        </w:rPr>
      </w:pPr>
      <w:r w:rsidRPr="00D1392D">
        <w:rPr>
          <w:rFonts w:ascii="Arial" w:hAnsi="Arial" w:cs="Arial"/>
          <w:b/>
        </w:rPr>
        <w:t>CANALI</w:t>
      </w:r>
      <w:r w:rsidRPr="00D1392D">
        <w:rPr>
          <w:rFonts w:ascii="Arial" w:hAnsi="Arial" w:cs="Arial"/>
        </w:rPr>
        <w:t>, Pablo A.</w:t>
      </w:r>
      <w:r w:rsidRPr="00D1392D">
        <w:rPr>
          <w:rFonts w:ascii="Arial" w:hAnsi="Arial" w:cs="Arial"/>
        </w:rPr>
        <w:tab/>
        <w:t xml:space="preserve"> </w:t>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b/>
        </w:rPr>
        <w:t>MIRANDA</w:t>
      </w:r>
      <w:r w:rsidRPr="00D1392D">
        <w:rPr>
          <w:rFonts w:ascii="Arial" w:hAnsi="Arial" w:cs="Arial"/>
        </w:rPr>
        <w:t>, Nancy S.</w:t>
      </w:r>
    </w:p>
    <w:p w:rsidR="00F27A11" w:rsidRDefault="00F27A11" w:rsidP="00F27A11">
      <w:pPr>
        <w:jc w:val="both"/>
        <w:rPr>
          <w:rFonts w:ascii="Arial" w:hAnsi="Arial" w:cs="Arial"/>
          <w:b/>
        </w:rPr>
      </w:pPr>
    </w:p>
    <w:p w:rsidR="00F27A11" w:rsidRDefault="00F27A11" w:rsidP="00F27A11">
      <w:pPr>
        <w:jc w:val="both"/>
        <w:rPr>
          <w:rFonts w:ascii="Arial" w:hAnsi="Arial" w:cs="Arial"/>
          <w:b/>
        </w:rPr>
      </w:pPr>
    </w:p>
    <w:p w:rsidR="00F27A11" w:rsidRPr="00D1392D" w:rsidRDefault="00F27A11" w:rsidP="00F27A11">
      <w:pPr>
        <w:jc w:val="both"/>
        <w:rPr>
          <w:rFonts w:ascii="Arial" w:hAnsi="Arial" w:cs="Arial"/>
        </w:rPr>
      </w:pPr>
      <w:r w:rsidRPr="00D1392D">
        <w:rPr>
          <w:rFonts w:ascii="Arial" w:hAnsi="Arial" w:cs="Arial"/>
          <w:b/>
        </w:rPr>
        <w:t>FERRARI</w:t>
      </w:r>
      <w:r w:rsidRPr="00D1392D">
        <w:rPr>
          <w:rFonts w:ascii="Arial" w:hAnsi="Arial" w:cs="Arial"/>
        </w:rPr>
        <w:t xml:space="preserve">, Roque R. </w:t>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rPr>
        <w:tab/>
      </w:r>
      <w:r w:rsidRPr="00D1392D">
        <w:rPr>
          <w:rFonts w:ascii="Arial" w:hAnsi="Arial" w:cs="Arial"/>
          <w:b/>
        </w:rPr>
        <w:t>KISSER</w:t>
      </w:r>
      <w:r w:rsidRPr="00D1392D">
        <w:rPr>
          <w:rFonts w:ascii="Arial" w:hAnsi="Arial" w:cs="Arial"/>
        </w:rPr>
        <w:t>, Raymundo A.</w:t>
      </w:r>
    </w:p>
    <w:p w:rsidR="00F27A11" w:rsidRDefault="00F27A11" w:rsidP="00F27A11">
      <w:pPr>
        <w:jc w:val="both"/>
        <w:rPr>
          <w:rFonts w:ascii="Arial" w:hAnsi="Arial" w:cs="Arial"/>
        </w:rPr>
      </w:pPr>
    </w:p>
    <w:p w:rsidR="00F27A11" w:rsidRPr="00D1392D" w:rsidRDefault="00F27A11" w:rsidP="00F27A11">
      <w:pPr>
        <w:jc w:val="both"/>
        <w:rPr>
          <w:rFonts w:ascii="Arial" w:hAnsi="Arial" w:cs="Arial"/>
        </w:rPr>
      </w:pPr>
    </w:p>
    <w:p w:rsidR="00F27A11" w:rsidRPr="00630425" w:rsidRDefault="00F27A11" w:rsidP="00F27A11">
      <w:pPr>
        <w:rPr>
          <w:rFonts w:ascii="Arial" w:hAnsi="Arial" w:cs="Arial"/>
        </w:rPr>
      </w:pPr>
      <w:r w:rsidRPr="00D1392D">
        <w:rPr>
          <w:rFonts w:ascii="Arial" w:hAnsi="Arial" w:cs="Arial"/>
          <w:b/>
        </w:rPr>
        <w:t>SCHILD</w:t>
      </w:r>
      <w:r w:rsidRPr="00D1392D">
        <w:rPr>
          <w:rFonts w:ascii="Arial" w:hAnsi="Arial" w:cs="Arial"/>
        </w:rPr>
        <w:t>, Rogelio Omar</w:t>
      </w:r>
    </w:p>
    <w:p w:rsidR="00F27A11" w:rsidRDefault="00F27A11"/>
    <w:sectPr w:rsidR="00F27A11" w:rsidSect="00F27A11">
      <w:pgSz w:w="11906" w:h="16838" w:code="9"/>
      <w:pgMar w:top="3119" w:right="851"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11"/>
    <w:rsid w:val="00571B25"/>
    <w:rsid w:val="0090652C"/>
    <w:rsid w:val="00F27A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E50FD28-A37D-4F09-AC7F-697E52E4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rPr>
      <w:sz w:val="24"/>
      <w:szCs w:val="24"/>
      <w:lang w:val="es-ES" w:eastAsia="es-ES"/>
    </w:rPr>
  </w:style>
  <w:style w:type="paragraph" w:styleId="Ttulo2">
    <w:name w:val="heading 2"/>
    <w:basedOn w:val="Normal"/>
    <w:link w:val="Ttulo2Car"/>
    <w:qFormat/>
    <w:rsid w:val="00F27A11"/>
    <w:pPr>
      <w:jc w:val="center"/>
      <w:outlineLvl w:val="1"/>
    </w:pPr>
    <w:rPr>
      <w:b/>
      <w:bCs/>
      <w:sz w:val="36"/>
      <w:szCs w:val="36"/>
    </w:rPr>
  </w:style>
  <w:style w:type="paragraph" w:styleId="Ttulo3">
    <w:name w:val="heading 3"/>
    <w:basedOn w:val="Normal"/>
    <w:next w:val="Normal"/>
    <w:link w:val="Ttulo3Car"/>
    <w:qFormat/>
    <w:rsid w:val="00F27A11"/>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2Car">
    <w:name w:val="Título 2 Car"/>
    <w:basedOn w:val="Fuentedeprrafopredeter"/>
    <w:link w:val="Ttulo2"/>
    <w:rsid w:val="00F27A11"/>
    <w:rPr>
      <w:b/>
      <w:bCs/>
      <w:sz w:val="36"/>
      <w:szCs w:val="36"/>
      <w:lang w:val="es-ES" w:eastAsia="es-ES" w:bidi="ar-SA"/>
    </w:rPr>
  </w:style>
  <w:style w:type="character" w:customStyle="1" w:styleId="Ttulo3Car">
    <w:name w:val="Título 3 Car"/>
    <w:basedOn w:val="Fuentedeprrafopredeter"/>
    <w:link w:val="Ttulo3"/>
    <w:rsid w:val="00F27A11"/>
    <w:rPr>
      <w:rFonts w:ascii="Arial" w:hAnsi="Arial" w:cs="Arial"/>
      <w:b/>
      <w:bCs/>
      <w:sz w:val="26"/>
      <w:szCs w:val="26"/>
      <w:lang w:val="es-ES" w:eastAsia="es-ES" w:bidi="ar-SA"/>
    </w:rPr>
  </w:style>
  <w:style w:type="paragraph" w:customStyle="1" w:styleId="western">
    <w:name w:val="western"/>
    <w:basedOn w:val="Normal"/>
    <w:rsid w:val="00F27A11"/>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HONORABLE SENADO: </vt:lpstr>
    </vt:vector>
  </TitlesOfParts>
  <Company>Windows uE</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Romina</cp:lastModifiedBy>
  <cp:revision>2</cp:revision>
  <dcterms:created xsi:type="dcterms:W3CDTF">2017-04-10T15:25:00Z</dcterms:created>
  <dcterms:modified xsi:type="dcterms:W3CDTF">2017-04-10T15:25:00Z</dcterms:modified>
</cp:coreProperties>
</file>