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6B" w:rsidRPr="006A053A" w:rsidRDefault="00DB046B" w:rsidP="006A053A">
      <w:pPr>
        <w:spacing w:after="0" w:line="240" w:lineRule="auto"/>
        <w:jc w:val="center"/>
        <w:rPr>
          <w:rFonts w:ascii="Arial" w:hAnsi="Arial"/>
          <w:b/>
          <w:sz w:val="24"/>
        </w:rPr>
      </w:pPr>
      <w:r w:rsidRPr="006A053A">
        <w:rPr>
          <w:rFonts w:ascii="Arial" w:hAnsi="Arial"/>
          <w:b/>
          <w:sz w:val="24"/>
        </w:rPr>
        <w:t>PEDIDO DE INFORME</w:t>
      </w:r>
    </w:p>
    <w:p w:rsidR="00DB046B" w:rsidRPr="006A053A" w:rsidRDefault="00DB046B" w:rsidP="006A053A">
      <w:pPr>
        <w:spacing w:after="0" w:line="240" w:lineRule="auto"/>
        <w:jc w:val="both"/>
        <w:rPr>
          <w:rFonts w:ascii="Arial" w:hAnsi="Arial"/>
          <w:sz w:val="24"/>
        </w:rPr>
      </w:pPr>
    </w:p>
    <w:p w:rsidR="00DB046B" w:rsidRPr="006A053A" w:rsidRDefault="00DB046B" w:rsidP="006A053A">
      <w:pPr>
        <w:spacing w:after="0" w:line="240" w:lineRule="auto"/>
        <w:jc w:val="both"/>
        <w:rPr>
          <w:rFonts w:ascii="Arial" w:hAnsi="Arial"/>
          <w:sz w:val="24"/>
        </w:rPr>
      </w:pPr>
    </w:p>
    <w:p w:rsidR="00DB046B" w:rsidRPr="006A053A" w:rsidRDefault="00DB046B" w:rsidP="006A053A">
      <w:pPr>
        <w:pStyle w:val="Textoindependiente"/>
      </w:pPr>
      <w:r w:rsidRPr="006A053A">
        <w:t xml:space="preserve">LA HONORABLE CÁMARA DE SENADORES DE LA PROVINCIA DE ENTRE RÍOS, EN USO DE LAS ATRIBUCIONES CONFERIDAS POR EL ARTÍCULO 204°  INC. F) DE LA CONSTITUCIÓN PROVINCIAL, SE DIRIGE </w:t>
      </w:r>
      <w:r w:rsidR="00630D15" w:rsidRPr="006A053A">
        <w:t>AL SUPE</w:t>
      </w:r>
      <w:r w:rsidR="005B41C1">
        <w:t>R</w:t>
      </w:r>
      <w:r w:rsidR="00630D15" w:rsidRPr="006A053A">
        <w:t>IOR TRIBUNAL DE JUSTICIA</w:t>
      </w:r>
      <w:r w:rsidRPr="006A053A">
        <w:t xml:space="preserve"> PARA QUE INFORME SOBRE LOS SIGUIENTES PUNTOS:</w:t>
      </w:r>
    </w:p>
    <w:p w:rsidR="00DB046B" w:rsidRPr="006A053A" w:rsidRDefault="00DB046B" w:rsidP="006A053A">
      <w:pPr>
        <w:spacing w:after="0" w:line="240" w:lineRule="auto"/>
        <w:jc w:val="both"/>
        <w:rPr>
          <w:rFonts w:ascii="Arial" w:hAnsi="Arial"/>
          <w:sz w:val="24"/>
        </w:rPr>
      </w:pPr>
    </w:p>
    <w:p w:rsidR="00DB046B" w:rsidRPr="006A053A" w:rsidRDefault="00DB046B" w:rsidP="006A053A">
      <w:pPr>
        <w:spacing w:after="0" w:line="240" w:lineRule="auto"/>
        <w:jc w:val="both"/>
        <w:rPr>
          <w:rFonts w:ascii="Arial" w:hAnsi="Arial"/>
          <w:sz w:val="24"/>
        </w:rPr>
      </w:pPr>
    </w:p>
    <w:p w:rsidR="006A053A" w:rsidRDefault="00DB046B" w:rsidP="006A053A">
      <w:pPr>
        <w:pStyle w:val="Prrafodelista"/>
        <w:numPr>
          <w:ilvl w:val="0"/>
          <w:numId w:val="1"/>
        </w:numPr>
        <w:spacing w:after="0" w:line="240" w:lineRule="auto"/>
        <w:ind w:left="357" w:firstLine="0"/>
        <w:jc w:val="both"/>
        <w:rPr>
          <w:rFonts w:ascii="Arial" w:hAnsi="Arial" w:cs="Arial"/>
          <w:sz w:val="24"/>
          <w:szCs w:val="24"/>
        </w:rPr>
      </w:pPr>
      <w:r w:rsidRPr="006A053A">
        <w:rPr>
          <w:rFonts w:ascii="Arial" w:hAnsi="Arial" w:cs="Arial"/>
          <w:sz w:val="24"/>
          <w:szCs w:val="24"/>
        </w:rPr>
        <w:t>Cómo está reglamentado el sistema de viáticos y gastos de traslado del Superior Tribunal de Justicia de Entre Ríos, dando detalle de procedimiento de otorgamiento, justificación y rendición de gastos, como así también de montos asignados. En la misma información se detallará con precisión cuáles son los conceptos establecidos como habilitantes para que los Vocales soliciten viáticos y gastos de traslado, sea por comisión de servicios oficiales, representación del Tribunal, actividades protocolares, participación en actos y/o eventos que tengan relación directa</w:t>
      </w:r>
      <w:r w:rsidR="006A053A">
        <w:rPr>
          <w:rFonts w:ascii="Arial" w:hAnsi="Arial" w:cs="Arial"/>
          <w:sz w:val="24"/>
          <w:szCs w:val="24"/>
        </w:rPr>
        <w:t xml:space="preserve"> con la actividad judicial, etcétera.</w:t>
      </w:r>
    </w:p>
    <w:p w:rsidR="00DB046B" w:rsidRPr="006A053A" w:rsidRDefault="00DB046B" w:rsidP="006A053A">
      <w:pPr>
        <w:spacing w:after="0" w:line="240" w:lineRule="auto"/>
        <w:ind w:left="357"/>
        <w:jc w:val="both"/>
        <w:rPr>
          <w:rFonts w:ascii="Arial" w:hAnsi="Arial" w:cs="Arial"/>
          <w:sz w:val="24"/>
          <w:szCs w:val="24"/>
        </w:rPr>
      </w:pPr>
      <w:r w:rsidRPr="006A053A">
        <w:rPr>
          <w:rFonts w:ascii="Arial" w:hAnsi="Arial" w:cs="Arial"/>
          <w:sz w:val="24"/>
          <w:szCs w:val="24"/>
        </w:rPr>
        <w:t xml:space="preserve"> </w:t>
      </w:r>
    </w:p>
    <w:p w:rsidR="00DB046B" w:rsidRDefault="00DB046B" w:rsidP="006A053A">
      <w:pPr>
        <w:pStyle w:val="Prrafodelista"/>
        <w:numPr>
          <w:ilvl w:val="0"/>
          <w:numId w:val="1"/>
        </w:numPr>
        <w:spacing w:after="0" w:line="240" w:lineRule="auto"/>
        <w:ind w:left="426" w:firstLine="0"/>
        <w:jc w:val="both"/>
        <w:rPr>
          <w:rFonts w:ascii="Arial" w:hAnsi="Arial" w:cs="Arial"/>
          <w:sz w:val="24"/>
          <w:szCs w:val="24"/>
        </w:rPr>
      </w:pPr>
      <w:r w:rsidRPr="006A053A">
        <w:rPr>
          <w:rFonts w:ascii="Arial" w:hAnsi="Arial" w:cs="Arial"/>
          <w:sz w:val="24"/>
          <w:szCs w:val="24"/>
        </w:rPr>
        <w:t>Cuáles son los viáticos, gastos de traslado, gastos protocolares y de representación y/u otro concepto por viaje que se han liquidado a cada Vocal miembro del Superior Tribunal de Justicia de Entre Ríos, por actividades dentro y fuera de la jurisdicción provincial, en los últimos diez (10) años, dando detalle de monto, destino, días, justificación, concepto y norma reglamentaria de aplicación.</w:t>
      </w:r>
    </w:p>
    <w:p w:rsidR="006A053A" w:rsidRPr="006A053A" w:rsidRDefault="006A053A" w:rsidP="006A053A">
      <w:pPr>
        <w:pStyle w:val="Prrafodelista"/>
        <w:rPr>
          <w:rFonts w:ascii="Arial" w:hAnsi="Arial" w:cs="Arial"/>
          <w:sz w:val="24"/>
          <w:szCs w:val="24"/>
        </w:rPr>
      </w:pPr>
    </w:p>
    <w:p w:rsidR="00DB046B" w:rsidRDefault="00DB046B" w:rsidP="006A053A">
      <w:pPr>
        <w:pStyle w:val="Prrafodelista"/>
        <w:numPr>
          <w:ilvl w:val="0"/>
          <w:numId w:val="1"/>
        </w:numPr>
        <w:tabs>
          <w:tab w:val="clear" w:pos="1070"/>
          <w:tab w:val="num" w:pos="634"/>
          <w:tab w:val="num" w:pos="720"/>
        </w:tabs>
        <w:spacing w:after="0" w:line="240" w:lineRule="auto"/>
        <w:ind w:left="426" w:firstLine="0"/>
        <w:jc w:val="both"/>
        <w:rPr>
          <w:rFonts w:ascii="Arial" w:hAnsi="Arial" w:cs="Arial"/>
          <w:sz w:val="24"/>
          <w:szCs w:val="24"/>
        </w:rPr>
      </w:pPr>
      <w:r w:rsidRPr="006A053A">
        <w:rPr>
          <w:rFonts w:ascii="Arial" w:hAnsi="Arial" w:cs="Arial"/>
          <w:sz w:val="24"/>
          <w:szCs w:val="24"/>
        </w:rPr>
        <w:t xml:space="preserve">Si algún Vocal miembro del Superior Tribunal de Justicia de Entre Ríos ha omitido efectuar la respectiva rendición de viáticos, gastos de traslado, gastos protocolares y de representación u otro concepto por viaje, solicitados y otorgados en igual plazo, y en tal caso qué medidas se han tomado en el ejercicio de las facultades de Superintendencia del </w:t>
      </w:r>
      <w:r w:rsidR="00CB769B">
        <w:rPr>
          <w:rFonts w:ascii="Arial" w:hAnsi="Arial" w:cs="Arial"/>
          <w:sz w:val="24"/>
          <w:szCs w:val="24"/>
        </w:rPr>
        <w:t>C</w:t>
      </w:r>
      <w:r w:rsidRPr="006A053A">
        <w:rPr>
          <w:rFonts w:ascii="Arial" w:hAnsi="Arial" w:cs="Arial"/>
          <w:sz w:val="24"/>
          <w:szCs w:val="24"/>
        </w:rPr>
        <w:t>uerpo y su resultado.</w:t>
      </w:r>
    </w:p>
    <w:p w:rsidR="006A053A" w:rsidRPr="006A053A" w:rsidRDefault="006A053A" w:rsidP="006A053A">
      <w:pPr>
        <w:pStyle w:val="Prrafodelista"/>
        <w:tabs>
          <w:tab w:val="num" w:pos="720"/>
        </w:tabs>
        <w:spacing w:after="0" w:line="240" w:lineRule="auto"/>
        <w:ind w:left="426"/>
        <w:jc w:val="both"/>
        <w:rPr>
          <w:rFonts w:ascii="Arial" w:hAnsi="Arial" w:cs="Arial"/>
          <w:sz w:val="24"/>
          <w:szCs w:val="24"/>
        </w:rPr>
      </w:pPr>
    </w:p>
    <w:p w:rsidR="00DB046B" w:rsidRDefault="00DB046B" w:rsidP="006A053A">
      <w:pPr>
        <w:pStyle w:val="Prrafodelista"/>
        <w:numPr>
          <w:ilvl w:val="0"/>
          <w:numId w:val="1"/>
        </w:numPr>
        <w:tabs>
          <w:tab w:val="clear" w:pos="1070"/>
          <w:tab w:val="num" w:pos="720"/>
          <w:tab w:val="num" w:pos="776"/>
        </w:tabs>
        <w:spacing w:after="0" w:line="240" w:lineRule="auto"/>
        <w:ind w:left="284" w:firstLine="0"/>
        <w:jc w:val="both"/>
        <w:rPr>
          <w:rFonts w:ascii="Arial" w:hAnsi="Arial" w:cs="Arial"/>
          <w:sz w:val="24"/>
          <w:szCs w:val="24"/>
        </w:rPr>
      </w:pPr>
      <w:r w:rsidRPr="006A053A">
        <w:rPr>
          <w:rFonts w:ascii="Arial" w:hAnsi="Arial" w:cs="Arial"/>
          <w:sz w:val="24"/>
          <w:szCs w:val="24"/>
        </w:rPr>
        <w:t xml:space="preserve">Cómo está establecido o regulado el sistema de licencias que pueden solicitar los Vocales miembros del Superior Tribunal de Justicia de Entre Ríos, dando detalle de las que se han otorgado a cada </w:t>
      </w:r>
      <w:r w:rsidR="00CB769B">
        <w:rPr>
          <w:rFonts w:ascii="Arial" w:hAnsi="Arial" w:cs="Arial"/>
          <w:sz w:val="24"/>
          <w:szCs w:val="24"/>
        </w:rPr>
        <w:t>V</w:t>
      </w:r>
      <w:r w:rsidRPr="006A053A">
        <w:rPr>
          <w:rFonts w:ascii="Arial" w:hAnsi="Arial" w:cs="Arial"/>
          <w:sz w:val="24"/>
          <w:szCs w:val="24"/>
        </w:rPr>
        <w:t xml:space="preserve">ocal en los últimos diez (10) años, la razón que las motivó en cada caso, si son ordinarias o extraordinarias, y con o sin goce de sueldo. Para el caso de tratarse de licencias extraordinarias otorgadas para concurrir a Congresos, Jornadas Científicas, Programas o Cursos de Actualización, Especializaciones, Maestrías y Doctorados y/o para realizar viajes de estudios en el país o en </w:t>
      </w:r>
      <w:r w:rsidR="00630D15" w:rsidRPr="006A053A">
        <w:rPr>
          <w:rFonts w:ascii="Arial" w:hAnsi="Arial" w:cs="Arial"/>
          <w:sz w:val="24"/>
          <w:szCs w:val="24"/>
        </w:rPr>
        <w:t xml:space="preserve">el extranjero, si el </w:t>
      </w:r>
      <w:r w:rsidR="00CB769B">
        <w:rPr>
          <w:rFonts w:ascii="Arial" w:hAnsi="Arial" w:cs="Arial"/>
          <w:sz w:val="24"/>
          <w:szCs w:val="24"/>
        </w:rPr>
        <w:t>V</w:t>
      </w:r>
      <w:r w:rsidR="00630D15" w:rsidRPr="006A053A">
        <w:rPr>
          <w:rFonts w:ascii="Arial" w:hAnsi="Arial" w:cs="Arial"/>
          <w:sz w:val="24"/>
          <w:szCs w:val="24"/>
        </w:rPr>
        <w:t xml:space="preserve">ocal </w:t>
      </w:r>
      <w:proofErr w:type="spellStart"/>
      <w:r w:rsidR="00630D15" w:rsidRPr="006A053A">
        <w:rPr>
          <w:rFonts w:ascii="Arial" w:hAnsi="Arial" w:cs="Arial"/>
          <w:sz w:val="24"/>
          <w:szCs w:val="24"/>
        </w:rPr>
        <w:t>petic</w:t>
      </w:r>
      <w:r w:rsidRPr="006A053A">
        <w:rPr>
          <w:rFonts w:ascii="Arial" w:hAnsi="Arial" w:cs="Arial"/>
          <w:sz w:val="24"/>
          <w:szCs w:val="24"/>
        </w:rPr>
        <w:t>ionante</w:t>
      </w:r>
      <w:proofErr w:type="spellEnd"/>
      <w:r w:rsidRPr="006A053A">
        <w:rPr>
          <w:rFonts w:ascii="Arial" w:hAnsi="Arial" w:cs="Arial"/>
          <w:sz w:val="24"/>
          <w:szCs w:val="24"/>
        </w:rPr>
        <w:t xml:space="preserve"> declaró bajo juramento estar al día en el despacho de las causas y en el dictado </w:t>
      </w:r>
      <w:r w:rsidRPr="006A053A">
        <w:rPr>
          <w:rFonts w:ascii="Arial" w:hAnsi="Arial" w:cs="Arial"/>
          <w:sz w:val="24"/>
          <w:szCs w:val="24"/>
        </w:rPr>
        <w:lastRenderedPageBreak/>
        <w:t>de resoluciones y sentencias que le hayan sido asignadas para decidir, y si justificó por medios fehacientes la asistencia, inscripción o actividad cumplida, y que el acontecimiento al cual solicitó asistir tenía relación directa con la actividad judicial.</w:t>
      </w:r>
    </w:p>
    <w:p w:rsidR="006A053A" w:rsidRPr="006A053A" w:rsidRDefault="006A053A" w:rsidP="006A053A">
      <w:pPr>
        <w:pStyle w:val="Prrafodelista"/>
        <w:tabs>
          <w:tab w:val="num" w:pos="776"/>
        </w:tabs>
        <w:spacing w:after="0" w:line="240" w:lineRule="auto"/>
        <w:ind w:left="284"/>
        <w:jc w:val="both"/>
        <w:rPr>
          <w:rFonts w:ascii="Arial" w:hAnsi="Arial" w:cs="Arial"/>
          <w:sz w:val="24"/>
          <w:szCs w:val="24"/>
        </w:rPr>
      </w:pPr>
    </w:p>
    <w:p w:rsidR="00DB046B" w:rsidRDefault="00DB046B" w:rsidP="006A053A">
      <w:pPr>
        <w:pStyle w:val="Prrafodelista"/>
        <w:numPr>
          <w:ilvl w:val="0"/>
          <w:numId w:val="1"/>
        </w:numPr>
        <w:tabs>
          <w:tab w:val="clear" w:pos="1070"/>
          <w:tab w:val="num" w:pos="284"/>
          <w:tab w:val="num" w:pos="720"/>
        </w:tabs>
        <w:spacing w:after="0" w:line="240" w:lineRule="auto"/>
        <w:ind w:left="284" w:firstLine="0"/>
        <w:jc w:val="both"/>
        <w:rPr>
          <w:rFonts w:ascii="Arial" w:hAnsi="Arial" w:cs="Arial"/>
          <w:sz w:val="24"/>
          <w:szCs w:val="24"/>
        </w:rPr>
      </w:pPr>
      <w:r w:rsidRPr="006A053A">
        <w:rPr>
          <w:rFonts w:ascii="Arial" w:hAnsi="Arial" w:cs="Arial"/>
          <w:sz w:val="24"/>
          <w:szCs w:val="24"/>
        </w:rPr>
        <w:t xml:space="preserve">Si hay registro de que algún Vocal miembro del Superior Tribunal de Justicia de Entre Ríos ha firmado sentencias en días en que se encontraba en uso de licencia, fuera de la jurisdicción provincial o fuera de la ciudad de Paraná o del lugar de la jurisdicción provincial donde se hubiere reunido el </w:t>
      </w:r>
      <w:r w:rsidR="00CB769B">
        <w:rPr>
          <w:rFonts w:ascii="Arial" w:hAnsi="Arial" w:cs="Arial"/>
          <w:sz w:val="24"/>
          <w:szCs w:val="24"/>
        </w:rPr>
        <w:t>C</w:t>
      </w:r>
      <w:r w:rsidRPr="006A053A">
        <w:rPr>
          <w:rFonts w:ascii="Arial" w:hAnsi="Arial" w:cs="Arial"/>
          <w:sz w:val="24"/>
          <w:szCs w:val="24"/>
        </w:rPr>
        <w:t>uerpo y dictado esas sentencias.</w:t>
      </w:r>
    </w:p>
    <w:p w:rsidR="006A053A" w:rsidRPr="006A053A" w:rsidRDefault="006A053A" w:rsidP="006A053A">
      <w:pPr>
        <w:pStyle w:val="Prrafodelista"/>
        <w:tabs>
          <w:tab w:val="num" w:pos="720"/>
        </w:tabs>
        <w:spacing w:after="0" w:line="240" w:lineRule="auto"/>
        <w:ind w:left="284"/>
        <w:jc w:val="both"/>
        <w:rPr>
          <w:rFonts w:ascii="Arial" w:hAnsi="Arial" w:cs="Arial"/>
          <w:sz w:val="24"/>
          <w:szCs w:val="24"/>
        </w:rPr>
      </w:pPr>
    </w:p>
    <w:p w:rsidR="00DB046B" w:rsidRPr="006A053A" w:rsidRDefault="00DB046B" w:rsidP="006A053A">
      <w:pPr>
        <w:pStyle w:val="Prrafodelista"/>
        <w:numPr>
          <w:ilvl w:val="0"/>
          <w:numId w:val="1"/>
        </w:numPr>
        <w:tabs>
          <w:tab w:val="clear" w:pos="1070"/>
          <w:tab w:val="num" w:pos="284"/>
          <w:tab w:val="num" w:pos="720"/>
        </w:tabs>
        <w:spacing w:after="0" w:line="240" w:lineRule="auto"/>
        <w:ind w:left="284" w:firstLine="0"/>
        <w:jc w:val="both"/>
        <w:rPr>
          <w:rFonts w:ascii="Arial" w:hAnsi="Arial"/>
          <w:sz w:val="24"/>
        </w:rPr>
      </w:pPr>
      <w:r w:rsidRPr="006A053A">
        <w:rPr>
          <w:rFonts w:ascii="Arial" w:hAnsi="Arial" w:cs="Arial"/>
          <w:sz w:val="24"/>
          <w:szCs w:val="24"/>
        </w:rPr>
        <w:t xml:space="preserve">Si se ha dispuesto la apertura de una investigación sumaria para determinar si en los últimos diez años hay sentencias del </w:t>
      </w:r>
      <w:r w:rsidR="00CB769B">
        <w:rPr>
          <w:rFonts w:ascii="Arial" w:hAnsi="Arial" w:cs="Arial"/>
          <w:sz w:val="24"/>
          <w:szCs w:val="24"/>
        </w:rPr>
        <w:t>C</w:t>
      </w:r>
      <w:r w:rsidRPr="006A053A">
        <w:rPr>
          <w:rFonts w:ascii="Arial" w:hAnsi="Arial" w:cs="Arial"/>
          <w:sz w:val="24"/>
          <w:szCs w:val="24"/>
        </w:rPr>
        <w:t>uerpo que hubieren sido firmadas por uno o más vocales que no se encontraban presentes, en ese momento, en la jurisdicción provincial o en el lugar donde se reunió el cuerpo para la emisión del voto de cada juez</w:t>
      </w:r>
      <w:r w:rsidRPr="006A053A">
        <w:rPr>
          <w:rFonts w:ascii="Arial" w:hAnsi="Arial"/>
          <w:sz w:val="24"/>
        </w:rPr>
        <w:t xml:space="preserve">. </w:t>
      </w:r>
    </w:p>
    <w:p w:rsidR="00DB046B" w:rsidRPr="006A053A" w:rsidRDefault="00DB046B" w:rsidP="006A053A">
      <w:pPr>
        <w:spacing w:after="0" w:line="240" w:lineRule="auto"/>
        <w:jc w:val="both"/>
        <w:rPr>
          <w:rFonts w:ascii="Arial" w:hAnsi="Arial"/>
          <w:sz w:val="24"/>
        </w:rPr>
      </w:pPr>
    </w:p>
    <w:p w:rsidR="00DB046B" w:rsidRPr="006A053A" w:rsidRDefault="00DB046B" w:rsidP="006A053A">
      <w:pPr>
        <w:spacing w:after="0" w:line="240" w:lineRule="auto"/>
        <w:jc w:val="both"/>
        <w:rPr>
          <w:rFonts w:ascii="Arial" w:hAnsi="Arial"/>
          <w:sz w:val="24"/>
        </w:rPr>
      </w:pPr>
    </w:p>
    <w:p w:rsidR="00453C9F" w:rsidRDefault="00453C9F" w:rsidP="00453C9F">
      <w:pPr>
        <w:spacing w:line="240" w:lineRule="exact"/>
        <w:rPr>
          <w:rFonts w:ascii="Arial" w:hAnsi="Arial"/>
          <w:b/>
        </w:rPr>
      </w:pPr>
      <w:r>
        <w:rPr>
          <w:rFonts w:ascii="Arial" w:hAnsi="Arial"/>
          <w:b/>
        </w:rPr>
        <w:t>PARANÁ, SALA DE SESIONES, 23 de Marzo de 2017.</w:t>
      </w:r>
    </w:p>
    <w:p w:rsidR="00453C9F" w:rsidRDefault="00453C9F" w:rsidP="00453C9F">
      <w:pPr>
        <w:ind w:left="1416" w:firstLine="708"/>
        <w:jc w:val="both"/>
        <w:rPr>
          <w:b/>
          <w:lang w:val="en-US"/>
        </w:rPr>
      </w:pPr>
      <w:r>
        <w:rPr>
          <w:b/>
          <w:lang w:val="en-US"/>
        </w:rPr>
        <w:t xml:space="preserve">    </w:t>
      </w:r>
      <w:r>
        <w:rPr>
          <w:b/>
          <w:lang w:val="en-US"/>
        </w:rPr>
        <w:tab/>
      </w:r>
      <w:r>
        <w:rPr>
          <w:b/>
          <w:lang w:val="en-US"/>
        </w:rPr>
        <w:tab/>
      </w:r>
      <w:r>
        <w:rPr>
          <w:b/>
          <w:lang w:val="en-US"/>
        </w:rPr>
        <w:tab/>
      </w:r>
      <w:r>
        <w:rPr>
          <w:b/>
          <w:lang w:val="en-US"/>
        </w:rPr>
        <w:tab/>
      </w:r>
      <w:r>
        <w:rPr>
          <w:b/>
          <w:lang w:val="en-US"/>
        </w:rPr>
        <w:tab/>
        <w:t xml:space="preserve">     C.P.N. </w:t>
      </w:r>
      <w:proofErr w:type="spellStart"/>
      <w:r>
        <w:rPr>
          <w:b/>
          <w:lang w:val="en-US"/>
        </w:rPr>
        <w:t>Adán</w:t>
      </w:r>
      <w:proofErr w:type="spellEnd"/>
      <w:r>
        <w:rPr>
          <w:b/>
          <w:lang w:val="en-US"/>
        </w:rPr>
        <w:t xml:space="preserve"> Humberto BAHL</w:t>
      </w:r>
    </w:p>
    <w:p w:rsidR="00453C9F" w:rsidRDefault="00453C9F" w:rsidP="00453C9F">
      <w:pPr>
        <w:ind w:left="2124" w:firstLine="708"/>
        <w:jc w:val="both"/>
        <w:rPr>
          <w:b/>
        </w:rPr>
      </w:pPr>
      <w:r>
        <w:rPr>
          <w:b/>
          <w:lang w:val="en-US"/>
        </w:rPr>
        <w:tab/>
      </w:r>
      <w:r>
        <w:rPr>
          <w:b/>
          <w:lang w:val="en-US"/>
        </w:rPr>
        <w:tab/>
      </w:r>
      <w:r>
        <w:rPr>
          <w:b/>
          <w:lang w:val="en-US"/>
        </w:rPr>
        <w:tab/>
      </w:r>
      <w:r>
        <w:rPr>
          <w:b/>
          <w:lang w:val="en-US"/>
        </w:rPr>
        <w:tab/>
        <w:t xml:space="preserve">    </w:t>
      </w:r>
      <w:r>
        <w:rPr>
          <w:b/>
        </w:rPr>
        <w:t>Presidente H. C. de Senadores</w:t>
      </w:r>
    </w:p>
    <w:p w:rsidR="00453C9F" w:rsidRDefault="00453C9F" w:rsidP="00453C9F">
      <w:pPr>
        <w:spacing w:after="0" w:line="240" w:lineRule="auto"/>
        <w:jc w:val="both"/>
        <w:rPr>
          <w:b/>
        </w:rPr>
      </w:pPr>
    </w:p>
    <w:p w:rsidR="00453C9F" w:rsidRDefault="00453C9F" w:rsidP="00453C9F">
      <w:pPr>
        <w:spacing w:after="0" w:line="240" w:lineRule="auto"/>
        <w:jc w:val="both"/>
        <w:rPr>
          <w:b/>
        </w:rPr>
      </w:pPr>
    </w:p>
    <w:p w:rsidR="00453C9F" w:rsidRDefault="00453C9F" w:rsidP="00453C9F">
      <w:pPr>
        <w:spacing w:after="0" w:line="240" w:lineRule="auto"/>
        <w:ind w:left="708" w:firstLine="708"/>
        <w:jc w:val="both"/>
        <w:rPr>
          <w:b/>
        </w:rPr>
      </w:pPr>
      <w:r>
        <w:rPr>
          <w:b/>
        </w:rPr>
        <w:tab/>
      </w:r>
      <w:r>
        <w:rPr>
          <w:b/>
        </w:rPr>
        <w:tab/>
      </w:r>
      <w:r>
        <w:rPr>
          <w:b/>
        </w:rPr>
        <w:tab/>
      </w:r>
      <w:r>
        <w:rPr>
          <w:b/>
        </w:rPr>
        <w:tab/>
      </w:r>
      <w:r>
        <w:rPr>
          <w:b/>
        </w:rPr>
        <w:tab/>
      </w:r>
      <w:r>
        <w:rPr>
          <w:b/>
        </w:rPr>
        <w:tab/>
        <w:t xml:space="preserve">        Natalio Juan GERDAU</w:t>
      </w:r>
    </w:p>
    <w:p w:rsidR="00453C9F" w:rsidRDefault="00453C9F" w:rsidP="00453C9F">
      <w:pPr>
        <w:spacing w:after="0" w:line="240" w:lineRule="auto"/>
        <w:ind w:left="1416" w:firstLine="708"/>
        <w:jc w:val="both"/>
        <w:rPr>
          <w:b/>
        </w:rPr>
      </w:pPr>
      <w:r>
        <w:rPr>
          <w:b/>
        </w:rPr>
        <w:tab/>
      </w:r>
      <w:r>
        <w:rPr>
          <w:b/>
        </w:rPr>
        <w:tab/>
      </w:r>
      <w:r>
        <w:rPr>
          <w:b/>
        </w:rPr>
        <w:tab/>
      </w:r>
      <w:r>
        <w:rPr>
          <w:b/>
        </w:rPr>
        <w:tab/>
      </w:r>
      <w:r>
        <w:rPr>
          <w:b/>
        </w:rPr>
        <w:tab/>
        <w:t xml:space="preserve">    Secretario H.C. de Senadores</w:t>
      </w:r>
    </w:p>
    <w:p w:rsidR="00453C9F" w:rsidRDefault="00453C9F" w:rsidP="00453C9F">
      <w:pPr>
        <w:spacing w:after="0" w:line="240" w:lineRule="auto"/>
        <w:jc w:val="both"/>
        <w:rPr>
          <w:b/>
        </w:rPr>
      </w:pPr>
    </w:p>
    <w:p w:rsidR="00453C9F" w:rsidRDefault="00453C9F" w:rsidP="00453C9F">
      <w:pPr>
        <w:spacing w:after="0" w:line="240" w:lineRule="auto"/>
        <w:jc w:val="both"/>
        <w:rPr>
          <w:b/>
        </w:rPr>
      </w:pPr>
      <w:r>
        <w:rPr>
          <w:b/>
        </w:rPr>
        <w:t>ES COPIA AUTENTICA</w:t>
      </w:r>
    </w:p>
    <w:p w:rsidR="00DB046B" w:rsidRPr="006A053A" w:rsidRDefault="00DB046B" w:rsidP="006A053A">
      <w:pPr>
        <w:spacing w:after="0" w:line="240" w:lineRule="auto"/>
        <w:jc w:val="both"/>
        <w:rPr>
          <w:rFonts w:ascii="Arial" w:hAnsi="Arial"/>
          <w:sz w:val="24"/>
        </w:rPr>
      </w:pPr>
      <w:bookmarkStart w:id="0" w:name="_GoBack"/>
      <w:bookmarkEnd w:id="0"/>
    </w:p>
    <w:p w:rsidR="00DB046B" w:rsidRPr="006A053A" w:rsidRDefault="00DB046B" w:rsidP="006A053A">
      <w:pPr>
        <w:spacing w:after="0" w:line="240" w:lineRule="auto"/>
        <w:jc w:val="both"/>
        <w:rPr>
          <w:rFonts w:ascii="Arial" w:hAnsi="Arial"/>
          <w:sz w:val="24"/>
        </w:rPr>
      </w:pPr>
    </w:p>
    <w:sectPr w:rsidR="00DB046B" w:rsidRPr="006A053A" w:rsidSect="0019360C">
      <w:footerReference w:type="default" r:id="rId8"/>
      <w:pgSz w:w="11907" w:h="16840" w:code="9"/>
      <w:pgMar w:top="3402" w:right="851" w:bottom="1701" w:left="2268"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6F6" w:rsidRDefault="008126F6" w:rsidP="00DB046B">
      <w:pPr>
        <w:spacing w:after="0" w:line="240" w:lineRule="auto"/>
      </w:pPr>
      <w:r>
        <w:separator/>
      </w:r>
    </w:p>
  </w:endnote>
  <w:endnote w:type="continuationSeparator" w:id="0">
    <w:p w:rsidR="008126F6" w:rsidRDefault="008126F6" w:rsidP="00D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C" w:rsidRDefault="0019360C" w:rsidP="0019360C">
    <w:pPr>
      <w:pStyle w:val="Piedepgina"/>
      <w:rPr>
        <w:rFonts w:ascii="Arial" w:hAnsi="Arial"/>
        <w:b/>
        <w:sz w:val="20"/>
        <w:lang w:val="es-MX"/>
      </w:rPr>
    </w:pPr>
    <w:r>
      <w:rPr>
        <w:rFonts w:ascii="Arial" w:hAnsi="Arial"/>
        <w:b/>
        <w:sz w:val="20"/>
        <w:lang w:val="es-MX"/>
      </w:rPr>
      <w:t xml:space="preserve">Autor: Ss. Ss.: </w:t>
    </w:r>
    <w:proofErr w:type="spellStart"/>
    <w:r>
      <w:rPr>
        <w:rFonts w:ascii="Arial" w:hAnsi="Arial"/>
        <w:b/>
        <w:sz w:val="20"/>
        <w:lang w:val="es-MX"/>
      </w:rPr>
      <w:t>Mattiauda</w:t>
    </w:r>
    <w:proofErr w:type="spellEnd"/>
    <w:r>
      <w:rPr>
        <w:rFonts w:ascii="Arial" w:hAnsi="Arial"/>
        <w:b/>
        <w:sz w:val="20"/>
        <w:lang w:val="es-MX"/>
      </w:rPr>
      <w:t>-</w:t>
    </w:r>
    <w:proofErr w:type="spellStart"/>
    <w:r>
      <w:rPr>
        <w:rFonts w:ascii="Arial" w:hAnsi="Arial"/>
        <w:b/>
        <w:sz w:val="20"/>
        <w:lang w:val="es-MX"/>
      </w:rPr>
      <w:t>Kisser</w:t>
    </w:r>
    <w:proofErr w:type="spellEnd"/>
    <w:r>
      <w:rPr>
        <w:rFonts w:ascii="Arial" w:hAnsi="Arial"/>
        <w:b/>
        <w:sz w:val="20"/>
        <w:lang w:val="es-MX"/>
      </w:rPr>
      <w:t>-Ferrari</w:t>
    </w:r>
  </w:p>
  <w:p w:rsidR="0019360C" w:rsidRDefault="0019360C" w:rsidP="0019360C">
    <w:pPr>
      <w:pStyle w:val="Piedepgina"/>
      <w:rPr>
        <w:rFonts w:ascii="Arial" w:hAnsi="Arial"/>
        <w:b/>
        <w:sz w:val="20"/>
        <w:lang w:val="es-MX"/>
      </w:rPr>
    </w:pPr>
    <w:r>
      <w:rPr>
        <w:rFonts w:ascii="Arial" w:hAnsi="Arial"/>
        <w:b/>
        <w:sz w:val="20"/>
        <w:lang w:val="es-MX"/>
      </w:rPr>
      <w:t>Expediente Nº 11.960</w:t>
    </w:r>
  </w:p>
  <w:p w:rsidR="0019360C" w:rsidRDefault="001936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6F6" w:rsidRDefault="008126F6" w:rsidP="00DB046B">
      <w:pPr>
        <w:spacing w:after="0" w:line="240" w:lineRule="auto"/>
      </w:pPr>
      <w:r>
        <w:separator/>
      </w:r>
    </w:p>
  </w:footnote>
  <w:footnote w:type="continuationSeparator" w:id="0">
    <w:p w:rsidR="008126F6" w:rsidRDefault="008126F6" w:rsidP="00DB0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5903"/>
    <w:multiLevelType w:val="hybridMultilevel"/>
    <w:tmpl w:val="35B4C234"/>
    <w:lvl w:ilvl="0" w:tplc="FFFFFFFF">
      <w:start w:val="1"/>
      <w:numFmt w:val="decimal"/>
      <w:lvlText w:val="%1)"/>
      <w:lvlJc w:val="left"/>
      <w:pPr>
        <w:tabs>
          <w:tab w:val="num" w:pos="1070"/>
        </w:tabs>
        <w:ind w:left="107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6B"/>
    <w:rsid w:val="0019360C"/>
    <w:rsid w:val="001E6BAF"/>
    <w:rsid w:val="00453C9F"/>
    <w:rsid w:val="005B41C1"/>
    <w:rsid w:val="00630D15"/>
    <w:rsid w:val="00645D71"/>
    <w:rsid w:val="006A053A"/>
    <w:rsid w:val="007F7EDA"/>
    <w:rsid w:val="008126F6"/>
    <w:rsid w:val="0095104D"/>
    <w:rsid w:val="009F655B"/>
    <w:rsid w:val="00C5002A"/>
    <w:rsid w:val="00C650F6"/>
    <w:rsid w:val="00C870A9"/>
    <w:rsid w:val="00CB769B"/>
    <w:rsid w:val="00DB04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2C11-263B-497C-9DC5-286E4315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046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B046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B046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DB046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B046B"/>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DB046B"/>
    <w:rPr>
      <w:rFonts w:ascii="Arial" w:eastAsia="Times New Roman" w:hAnsi="Arial" w:cs="Arial"/>
      <w:b/>
      <w:sz w:val="24"/>
      <w:szCs w:val="24"/>
      <w:lang w:val="es-ES" w:eastAsia="es-ES"/>
    </w:rPr>
  </w:style>
  <w:style w:type="paragraph" w:styleId="Prrafodelista">
    <w:name w:val="List Paragraph"/>
    <w:basedOn w:val="Normal"/>
    <w:uiPriority w:val="34"/>
    <w:qFormat/>
    <w:rsid w:val="00DB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01269">
      <w:bodyDiv w:val="1"/>
      <w:marLeft w:val="0"/>
      <w:marRight w:val="0"/>
      <w:marTop w:val="0"/>
      <w:marBottom w:val="0"/>
      <w:divBdr>
        <w:top w:val="none" w:sz="0" w:space="0" w:color="auto"/>
        <w:left w:val="none" w:sz="0" w:space="0" w:color="auto"/>
        <w:bottom w:val="none" w:sz="0" w:space="0" w:color="auto"/>
        <w:right w:val="none" w:sz="0" w:space="0" w:color="auto"/>
      </w:divBdr>
    </w:div>
    <w:div w:id="18717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8E4B-8438-4C97-A577-BF19F2A8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7</cp:revision>
  <dcterms:created xsi:type="dcterms:W3CDTF">2017-03-09T11:47:00Z</dcterms:created>
  <dcterms:modified xsi:type="dcterms:W3CDTF">2017-03-27T12:50:00Z</dcterms:modified>
</cp:coreProperties>
</file>