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E15A3" w:rsidRDefault="00664235">
      <w:pPr>
        <w:spacing w:after="160" w:line="360" w:lineRule="auto"/>
        <w:ind w:hanging="2"/>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PROYECTO DE LEY</w:t>
      </w:r>
    </w:p>
    <w:p w:rsidR="009E15A3" w:rsidRDefault="009E15A3">
      <w:pPr>
        <w:spacing w:after="160" w:line="360" w:lineRule="auto"/>
        <w:ind w:hanging="2"/>
        <w:jc w:val="center"/>
        <w:rPr>
          <w:rFonts w:ascii="Times New Roman" w:eastAsia="Times New Roman" w:hAnsi="Times New Roman" w:cs="Times New Roman"/>
          <w:b/>
          <w:sz w:val="24"/>
          <w:szCs w:val="24"/>
        </w:rPr>
      </w:pPr>
    </w:p>
    <w:p w:rsidR="009E15A3" w:rsidRDefault="00664235">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Lucas Larrarte. </w:t>
      </w:r>
    </w:p>
    <w:p w:rsidR="009E15A3" w:rsidRDefault="00664235">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Coautores/Adherentes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Señores Senadores </w:t>
      </w:r>
      <w:proofErr w:type="spellStart"/>
      <w:r>
        <w:rPr>
          <w:rFonts w:ascii="Times New Roman" w:eastAsia="Times New Roman" w:hAnsi="Times New Roman" w:cs="Times New Roman"/>
          <w:sz w:val="24"/>
          <w:szCs w:val="24"/>
        </w:rPr>
        <w:t>FPV</w:t>
      </w:r>
      <w:proofErr w:type="spellEnd"/>
      <w:r>
        <w:rPr>
          <w:rFonts w:ascii="Times New Roman" w:eastAsia="Times New Roman" w:hAnsi="Times New Roman" w:cs="Times New Roman"/>
          <w:sz w:val="24"/>
          <w:szCs w:val="24"/>
        </w:rPr>
        <w:t xml:space="preserve"> abajo firmantes.</w:t>
      </w:r>
    </w:p>
    <w:p w:rsidR="009E15A3" w:rsidRDefault="00664235">
      <w:pPr>
        <w:spacing w:after="160" w:line="36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Modificar el Código Procesal Penal de Entre Ríos. </w:t>
      </w:r>
    </w:p>
    <w:p w:rsidR="009E15A3" w:rsidRDefault="009E15A3">
      <w:pPr>
        <w:spacing w:after="160" w:line="360" w:lineRule="auto"/>
        <w:ind w:hanging="2"/>
        <w:jc w:val="both"/>
        <w:rPr>
          <w:rFonts w:ascii="Times New Roman" w:eastAsia="Times New Roman" w:hAnsi="Times New Roman" w:cs="Times New Roman"/>
          <w:sz w:val="24"/>
          <w:szCs w:val="24"/>
        </w:rPr>
      </w:pPr>
    </w:p>
    <w:p w:rsidR="009E15A3" w:rsidRDefault="009E15A3">
      <w:pPr>
        <w:spacing w:after="160" w:line="360" w:lineRule="auto"/>
        <w:ind w:hanging="2"/>
        <w:jc w:val="both"/>
        <w:rPr>
          <w:rFonts w:ascii="Times New Roman" w:eastAsia="Times New Roman" w:hAnsi="Times New Roman" w:cs="Times New Roman"/>
          <w:sz w:val="24"/>
          <w:szCs w:val="24"/>
        </w:rPr>
      </w:pPr>
    </w:p>
    <w:p w:rsidR="009E15A3" w:rsidRDefault="00664235">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FUNDAMENTOS</w:t>
      </w:r>
    </w:p>
    <w:p w:rsidR="009E15A3" w:rsidRDefault="009E15A3">
      <w:pPr>
        <w:spacing w:line="360" w:lineRule="auto"/>
        <w:jc w:val="center"/>
        <w:rPr>
          <w:rFonts w:ascii="Times New Roman" w:eastAsia="Times New Roman" w:hAnsi="Times New Roman" w:cs="Times New Roman"/>
          <w:b/>
          <w:sz w:val="24"/>
          <w:szCs w:val="24"/>
        </w:rPr>
      </w:pPr>
    </w:p>
    <w:p w:rsidR="009E15A3" w:rsidRDefault="00664235">
      <w:pPr>
        <w:spacing w:after="12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Sr.  Presidente:</w:t>
      </w:r>
    </w:p>
    <w:p w:rsidR="009E15A3" w:rsidRDefault="009E15A3">
      <w:pPr>
        <w:spacing w:after="120" w:line="360" w:lineRule="auto"/>
        <w:jc w:val="both"/>
        <w:rPr>
          <w:rFonts w:ascii="Times New Roman" w:eastAsia="Times New Roman" w:hAnsi="Times New Roman" w:cs="Times New Roman"/>
          <w:b/>
          <w:i/>
          <w:sz w:val="24"/>
          <w:szCs w:val="24"/>
        </w:rPr>
      </w:pP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legislatura, como espacio propio del debate, no solo en nuestra provincia sino también en otras, es una caja de resonancia de los distintos hechos de la sociedad, sean ellos de tipo económico, social, político u otro. En ese entendimiento, muchas veces,</w:t>
      </w:r>
      <w:r>
        <w:rPr>
          <w:rFonts w:ascii="Times New Roman" w:eastAsia="Times New Roman" w:hAnsi="Times New Roman" w:cs="Times New Roman"/>
          <w:sz w:val="24"/>
          <w:szCs w:val="24"/>
        </w:rPr>
        <w:t xml:space="preserve"> algunas con razón y otras no, la legislatura es blanco de las críticas de la población, especialmente cuando se produce un hecho tan aberrante y de tanto impacto mediático como el que acaba de ocurrir. Estos reclamos sociales y también los que se realizan</w:t>
      </w:r>
      <w:r>
        <w:rPr>
          <w:rFonts w:ascii="Times New Roman" w:eastAsia="Times New Roman" w:hAnsi="Times New Roman" w:cs="Times New Roman"/>
          <w:sz w:val="24"/>
          <w:szCs w:val="24"/>
        </w:rPr>
        <w:t xml:space="preserve"> al Poder Judicial de nuestra provincia hacen que -en nuestra función como legisladores- tengamos redoblar esfuerzos para analizar, estudiar, debatir y -en su caso- sancionar normas que contengan la modificación de aquellos institutos y herramientas jurídi</w:t>
      </w:r>
      <w:r>
        <w:rPr>
          <w:rFonts w:ascii="Times New Roman" w:eastAsia="Times New Roman" w:hAnsi="Times New Roman" w:cs="Times New Roman"/>
          <w:sz w:val="24"/>
          <w:szCs w:val="24"/>
        </w:rPr>
        <w:t xml:space="preserve">cas que no funcionan como esperaba el legislador que los sancionó, o bien, para sancionar normas que permitan realizar ajustes que perfeccionen su funcionamiento, procurando llevar concordia y armonía a la comunidad. Además, y ello está bien, se nos exige </w:t>
      </w:r>
      <w:r>
        <w:rPr>
          <w:rFonts w:ascii="Times New Roman" w:eastAsia="Times New Roman" w:hAnsi="Times New Roman" w:cs="Times New Roman"/>
          <w:sz w:val="24"/>
          <w:szCs w:val="24"/>
        </w:rPr>
        <w:t xml:space="preserve">celeridad, se nos pide que actuemos inmediatamente. </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ciudadanía está conmovida por las noticias que dan cuenta de la comisión de delitos sexuales, seguidos en algunos casos de la muerte de la víctima, que enervan no sólo por lo aberrante del delito, sin</w:t>
      </w:r>
      <w:r>
        <w:rPr>
          <w:rFonts w:ascii="Times New Roman" w:eastAsia="Times New Roman" w:hAnsi="Times New Roman" w:cs="Times New Roman"/>
          <w:sz w:val="24"/>
          <w:szCs w:val="24"/>
        </w:rPr>
        <w:t xml:space="preserve">o también por la impunidad que se </w:t>
      </w:r>
      <w:r>
        <w:rPr>
          <w:rFonts w:ascii="Times New Roman" w:eastAsia="Times New Roman" w:hAnsi="Times New Roman" w:cs="Times New Roman"/>
          <w:sz w:val="24"/>
          <w:szCs w:val="24"/>
        </w:rPr>
        <w:lastRenderedPageBreak/>
        <w:t xml:space="preserve">muestra respecto de los autores de estos incalificables actos. Tal impunidad, de algún modo, subleva a la sociedad que ve cómo individuos que tienen antecedentes y que han sido condenados por idénticos hechos, reiteran su </w:t>
      </w:r>
      <w:r>
        <w:rPr>
          <w:rFonts w:ascii="Times New Roman" w:eastAsia="Times New Roman" w:hAnsi="Times New Roman" w:cs="Times New Roman"/>
          <w:sz w:val="24"/>
          <w:szCs w:val="24"/>
        </w:rPr>
        <w:t>accionar delictivo, por gozar de una libertad en muchos casos concedida en dudosas condiciones. Entonces, es necesario que como legisladores tomemos la iniciativa y empecemos a proyectar respuestas a una sociedad que clama protección.</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nuestro sistema ju</w:t>
      </w:r>
      <w:r>
        <w:rPr>
          <w:rFonts w:ascii="Times New Roman" w:eastAsia="Times New Roman" w:hAnsi="Times New Roman" w:cs="Times New Roman"/>
          <w:sz w:val="24"/>
          <w:szCs w:val="24"/>
        </w:rPr>
        <w:t>rídico de procedimientos penales, reglado por la Ley Provincial N° 9.754 y sus modificatorias (Código Procesal Penal), se estableció el mecanismo del llamado “Procedimiento Abreviado”. El artículo 391 (modificado por la Ley Provincial N° 10.317) señala que</w:t>
      </w:r>
      <w:r>
        <w:rPr>
          <w:rFonts w:ascii="Times New Roman" w:eastAsia="Times New Roman" w:hAnsi="Times New Roman" w:cs="Times New Roman"/>
          <w:sz w:val="24"/>
          <w:szCs w:val="24"/>
        </w:rPr>
        <w:t xml:space="preserve">: “El Defensor podrá convenir con el Fiscal la solicitud de un Juicio Abreviado a partir del reconocimiento del hecho intimado. Esta solicitud podrá ser escrita u oral y deberá contener la acusación de acuerdo a las previsiones del artículo 403, el pedido </w:t>
      </w:r>
      <w:r>
        <w:rPr>
          <w:rFonts w:ascii="Times New Roman" w:eastAsia="Times New Roman" w:hAnsi="Times New Roman" w:cs="Times New Roman"/>
          <w:sz w:val="24"/>
          <w:szCs w:val="24"/>
        </w:rPr>
        <w:t>de pena y, consecuentemente, la confesión y expresa conformidad del Imputado y su Defensor. Para la individualización de la pena dentro del marco legal, el Fiscal deberá tener especialmente en cuenta la actitud del Imputado con la víctima y su esfuerzo ten</w:t>
      </w:r>
      <w:r>
        <w:rPr>
          <w:rFonts w:ascii="Times New Roman" w:eastAsia="Times New Roman" w:hAnsi="Times New Roman" w:cs="Times New Roman"/>
          <w:sz w:val="24"/>
          <w:szCs w:val="24"/>
        </w:rPr>
        <w:t>diente a la reparación del daño que le hubiere causado. La víctima y/o el Querellante Particular tendrán derecho a manifestar su opinión respecto del convenio. La petición será resuelta en forma inmediata, en audiencia, oportunidad en la que el Juez interv</w:t>
      </w:r>
      <w:r>
        <w:rPr>
          <w:rFonts w:ascii="Times New Roman" w:eastAsia="Times New Roman" w:hAnsi="Times New Roman" w:cs="Times New Roman"/>
          <w:sz w:val="24"/>
          <w:szCs w:val="24"/>
        </w:rPr>
        <w:t>iniente, ya sea del Colegio de Jueces de Garantías o del Tribunal de Juicio y Apelación, dependiendo del momento en que se presente el acuerdo, dictará la sentencia en forma oral, quedando registrado en soporte digital. Se labrará un acta donde se asentará</w:t>
      </w:r>
      <w:r>
        <w:rPr>
          <w:rFonts w:ascii="Times New Roman" w:eastAsia="Times New Roman" w:hAnsi="Times New Roman" w:cs="Times New Roman"/>
          <w:sz w:val="24"/>
          <w:szCs w:val="24"/>
        </w:rPr>
        <w:t xml:space="preserve"> la parte resolutiva y los fundamentos dados por el Magistrado interviniente. En casos complejos, ya sea por la cantidad de hechos imputados o cómputos de pena, el juez podrá dictar la sentencia por escrito debiendo </w:t>
      </w:r>
      <w:proofErr w:type="spellStart"/>
      <w:r>
        <w:rPr>
          <w:rFonts w:ascii="Times New Roman" w:eastAsia="Times New Roman" w:hAnsi="Times New Roman" w:cs="Times New Roman"/>
          <w:sz w:val="24"/>
          <w:szCs w:val="24"/>
        </w:rPr>
        <w:t>oralizar</w:t>
      </w:r>
      <w:proofErr w:type="spellEnd"/>
      <w:r>
        <w:rPr>
          <w:rFonts w:ascii="Times New Roman" w:eastAsia="Times New Roman" w:hAnsi="Times New Roman" w:cs="Times New Roman"/>
          <w:sz w:val="24"/>
          <w:szCs w:val="24"/>
        </w:rPr>
        <w:t xml:space="preserve"> en audiencia sus fundamentos. S</w:t>
      </w:r>
      <w:r>
        <w:rPr>
          <w:rFonts w:ascii="Times New Roman" w:eastAsia="Times New Roman" w:hAnsi="Times New Roman" w:cs="Times New Roman"/>
          <w:sz w:val="24"/>
          <w:szCs w:val="24"/>
        </w:rPr>
        <w:t>i la pena acordada por las partes supera los diez años de prisión, la petición deberá ser resuelta por un Juez del Tribunal de Juicio y Apelación de la jurisdicción. Si el planteo es efectuado en la etapa de Debate, la decisión recaerá en un solo magistrad</w:t>
      </w:r>
      <w:r>
        <w:rPr>
          <w:rFonts w:ascii="Times New Roman" w:eastAsia="Times New Roman" w:hAnsi="Times New Roman" w:cs="Times New Roman"/>
          <w:sz w:val="24"/>
          <w:szCs w:val="24"/>
        </w:rPr>
        <w:t xml:space="preserve">o”; y el artículo 479 (también modificado por la Ley Provincial N° 10.317) dice que: “Desde la intimación de los hechos y hasta la </w:t>
      </w:r>
      <w:r>
        <w:rPr>
          <w:rFonts w:ascii="Times New Roman" w:eastAsia="Times New Roman" w:hAnsi="Times New Roman" w:cs="Times New Roman"/>
          <w:sz w:val="24"/>
          <w:szCs w:val="24"/>
        </w:rPr>
        <w:lastRenderedPageBreak/>
        <w:t>apertura del Debate, el Imputado podrá solicitar la aplicación del procedimiento abreviado mediante la presentación al Tribun</w:t>
      </w:r>
      <w:r>
        <w:rPr>
          <w:rFonts w:ascii="Times New Roman" w:eastAsia="Times New Roman" w:hAnsi="Times New Roman" w:cs="Times New Roman"/>
          <w:sz w:val="24"/>
          <w:szCs w:val="24"/>
        </w:rPr>
        <w:t>al de un acuerdo con el Fiscal.”.</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Juicio Abreviado es un instituto procesal penal que tiende a simplificar el sistema de enjuiciamiento, mediante mecanismos sencillos, ágiles y veloces que si bien resulta adecuado para aquellas situaciones en las que se</w:t>
      </w:r>
      <w:r>
        <w:rPr>
          <w:rFonts w:ascii="Times New Roman" w:eastAsia="Times New Roman" w:hAnsi="Times New Roman" w:cs="Times New Roman"/>
          <w:sz w:val="24"/>
          <w:szCs w:val="24"/>
        </w:rPr>
        <w:t xml:space="preserve"> encuentran en juego conductas criminales patrimoniales, no sucede lo mismo, porque la situación es distinta y gravita socialmente, cuando la conducta del delincuente ha consistido en lacerar, abusar, ultrajar o humillar atentando contra la integridad sexu</w:t>
      </w:r>
      <w:r>
        <w:rPr>
          <w:rFonts w:ascii="Times New Roman" w:eastAsia="Times New Roman" w:hAnsi="Times New Roman" w:cs="Times New Roman"/>
          <w:sz w:val="24"/>
          <w:szCs w:val="24"/>
        </w:rPr>
        <w:t xml:space="preserve">al de una persona y en particular a un menor o una mujer. </w:t>
      </w:r>
    </w:p>
    <w:p w:rsidR="009E15A3" w:rsidRDefault="00664235">
      <w:pPr>
        <w:spacing w:after="120" w:line="360" w:lineRule="auto"/>
        <w:ind w:firstLine="113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Obviamente que no se nos escapa que algunos podrán sostener que en muchos casos es el Juicio Abreviado el que garantiza una condena, porque no se discute la autoría del hecho ya que el imputado con</w:t>
      </w:r>
      <w:r>
        <w:rPr>
          <w:rFonts w:ascii="Times New Roman" w:eastAsia="Times New Roman" w:hAnsi="Times New Roman" w:cs="Times New Roman"/>
          <w:sz w:val="24"/>
          <w:szCs w:val="24"/>
        </w:rPr>
        <w:t xml:space="preserve">fiesa y acepta su responsabilidad penal; pero pensamos que ante la realidad actual y el reclamo social en materia de delitos </w:t>
      </w:r>
      <w:r>
        <w:rPr>
          <w:rFonts w:ascii="Times New Roman" w:eastAsia="Times New Roman" w:hAnsi="Times New Roman" w:cs="Times New Roman"/>
          <w:sz w:val="24"/>
          <w:szCs w:val="24"/>
          <w:highlight w:val="white"/>
        </w:rPr>
        <w:t>sexuales, no se justifica la aplicación de esta especie de beneficio, necesariamente debe hacerse el esfuerzo de organizar un servi</w:t>
      </w:r>
      <w:r>
        <w:rPr>
          <w:rFonts w:ascii="Times New Roman" w:eastAsia="Times New Roman" w:hAnsi="Times New Roman" w:cs="Times New Roman"/>
          <w:sz w:val="24"/>
          <w:szCs w:val="24"/>
          <w:highlight w:val="white"/>
        </w:rPr>
        <w:t>cio de justicia propio de un Estado de derecho, en el que todos sus operadores actúen de manera diligente y legítima, respetando los derechos de “todos”.</w:t>
      </w:r>
    </w:p>
    <w:p w:rsidR="009E15A3" w:rsidRDefault="00664235">
      <w:pPr>
        <w:spacing w:after="120" w:line="360" w:lineRule="auto"/>
        <w:ind w:firstLine="113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gran mayoría de los casos son cometidos contra mujeres de modo que tampoco se nos pueden escapar al</w:t>
      </w:r>
      <w:r>
        <w:rPr>
          <w:rFonts w:ascii="Times New Roman" w:eastAsia="Times New Roman" w:hAnsi="Times New Roman" w:cs="Times New Roman"/>
          <w:sz w:val="24"/>
          <w:szCs w:val="24"/>
          <w:highlight w:val="white"/>
        </w:rPr>
        <w:t xml:space="preserve">gunas de las recomendaciones que desde las Naciones Unidas, División para el Adelanto de la Mujer, en su “Manual de legislación sobre la violencia contra la mujer” se vienen dando no solamente para la creación de tribunales especializados o procedimientos </w:t>
      </w:r>
      <w:r>
        <w:rPr>
          <w:rFonts w:ascii="Times New Roman" w:eastAsia="Times New Roman" w:hAnsi="Times New Roman" w:cs="Times New Roman"/>
          <w:sz w:val="24"/>
          <w:szCs w:val="24"/>
          <w:highlight w:val="white"/>
        </w:rPr>
        <w:t>judiciales especiales que garanticen la tramitación oportuna y eficiente de asuntos de violencia contra la mujer, sino también disponer la aplicación de políticas favorables a la detención y al enjuiciamiento en casos de violencia contra la mujer en los qu</w:t>
      </w:r>
      <w:r>
        <w:rPr>
          <w:rFonts w:ascii="Times New Roman" w:eastAsia="Times New Roman" w:hAnsi="Times New Roman" w:cs="Times New Roman"/>
          <w:sz w:val="24"/>
          <w:szCs w:val="24"/>
          <w:highlight w:val="white"/>
        </w:rPr>
        <w:t>e haya razones fundadas para creer que se ha producido un delito.</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Teniendo en consideración lo hasta aquí señalado, las implicancias psicológicas y sociales de las acciones delictivas indicadas y los lineamientos que la </w:t>
      </w:r>
      <w:r>
        <w:rPr>
          <w:rFonts w:ascii="Times New Roman" w:eastAsia="Times New Roman" w:hAnsi="Times New Roman" w:cs="Times New Roman"/>
          <w:sz w:val="24"/>
          <w:szCs w:val="24"/>
        </w:rPr>
        <w:lastRenderedPageBreak/>
        <w:t>Suprema Corte de Justicia de la Naci</w:t>
      </w:r>
      <w:r>
        <w:rPr>
          <w:rFonts w:ascii="Times New Roman" w:eastAsia="Times New Roman" w:hAnsi="Times New Roman" w:cs="Times New Roman"/>
          <w:sz w:val="24"/>
          <w:szCs w:val="24"/>
        </w:rPr>
        <w:t xml:space="preserve">ón diera en la causa “Góngora” es que se propone la modificación del Código de Procedimientos Penal que contiene este proyecto de ley. </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fallo mencionado da una interpretación a los términos del artículo 7º de la Convención Interamericana para Prevenir, </w:t>
      </w:r>
      <w:r>
        <w:rPr>
          <w:rFonts w:ascii="Times New Roman" w:eastAsia="Times New Roman" w:hAnsi="Times New Roman" w:cs="Times New Roman"/>
          <w:sz w:val="24"/>
          <w:szCs w:val="24"/>
        </w:rPr>
        <w:t>Sancionar y Erradicar la Violencia contra la Mujer (denominada "Convención de Belém do Pará" aprobada por la Ley N° 24.632) entendiendo que en los delitos que cuadren dentro del concepto de violencia contra la mujer inexorablemente deberá realizarse el jui</w:t>
      </w:r>
      <w:r>
        <w:rPr>
          <w:rFonts w:ascii="Times New Roman" w:eastAsia="Times New Roman" w:hAnsi="Times New Roman" w:cs="Times New Roman"/>
          <w:sz w:val="24"/>
          <w:szCs w:val="24"/>
        </w:rPr>
        <w:t xml:space="preserve">cio, término este último que la Corte traduce como debate oral. Debe agregarse que la Corte textualmente indicó que: “la adopción de </w:t>
      </w:r>
      <w:r>
        <w:rPr>
          <w:rFonts w:ascii="Times New Roman" w:eastAsia="Times New Roman" w:hAnsi="Times New Roman" w:cs="Times New Roman"/>
          <w:sz w:val="24"/>
          <w:szCs w:val="24"/>
          <w:u w:val="single"/>
        </w:rPr>
        <w:t>alternativas distintas</w:t>
      </w:r>
      <w:r>
        <w:rPr>
          <w:rFonts w:ascii="Times New Roman" w:eastAsia="Times New Roman" w:hAnsi="Times New Roman" w:cs="Times New Roman"/>
          <w:sz w:val="24"/>
          <w:szCs w:val="24"/>
        </w:rPr>
        <w:t xml:space="preserve"> a la definición del caso en la instancia del debate oral es improcedente”. </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la terminología empleada, la prohibición de viabilizar el proceso, en el que hubiere violencia contra la mujer, no se habría remitido estrictamente a la suspensión del juicio a prueba cuestión sobre la que versaba la causa Góngora, sino de un modo</w:t>
      </w:r>
      <w:r>
        <w:rPr>
          <w:rFonts w:ascii="Times New Roman" w:eastAsia="Times New Roman" w:hAnsi="Times New Roman" w:cs="Times New Roman"/>
          <w:sz w:val="24"/>
          <w:szCs w:val="24"/>
        </w:rPr>
        <w:t xml:space="preserve"> aún más amplio a “alternativas distintas” de definición que no sean el debate oral, entre ellas, el juicio abreviado.</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Parte de la doctrina sobre esta cuestión tiene dicho que: “... el fallo entiende que el procedimiento legal, justo y eficaz que incluya u</w:t>
      </w:r>
      <w:r>
        <w:rPr>
          <w:rFonts w:ascii="Times New Roman" w:eastAsia="Times New Roman" w:hAnsi="Times New Roman" w:cs="Times New Roman"/>
          <w:sz w:val="24"/>
          <w:szCs w:val="24"/>
        </w:rPr>
        <w:t xml:space="preserve">n juicio oportuno, no es precisamente compatible (...) en términos más amplios, con otras alternativas de definición, que no sean el debate oral. </w:t>
      </w:r>
      <w:r>
        <w:rPr>
          <w:rFonts w:ascii="Times New Roman" w:eastAsia="Times New Roman" w:hAnsi="Times New Roman" w:cs="Times New Roman"/>
          <w:sz w:val="24"/>
          <w:szCs w:val="24"/>
          <w:u w:val="single"/>
        </w:rPr>
        <w:t>Cabe entender entonces que tampoco procede el juicio abreviado en tales supuestos</w:t>
      </w:r>
      <w:r>
        <w:rPr>
          <w:rFonts w:ascii="Times New Roman" w:eastAsia="Times New Roman" w:hAnsi="Times New Roman" w:cs="Times New Roman"/>
          <w:sz w:val="24"/>
          <w:szCs w:val="24"/>
        </w:rPr>
        <w:t>…” (</w:t>
      </w:r>
      <w:proofErr w:type="gramStart"/>
      <w:r>
        <w:rPr>
          <w:rFonts w:ascii="Times New Roman" w:eastAsia="Times New Roman" w:hAnsi="Times New Roman" w:cs="Times New Roman"/>
          <w:sz w:val="24"/>
          <w:szCs w:val="24"/>
        </w:rPr>
        <w:t>cfr</w:t>
      </w:r>
      <w:proofErr w:type="gramEnd"/>
      <w:r>
        <w:rPr>
          <w:rFonts w:ascii="Times New Roman" w:eastAsia="Times New Roman" w:hAnsi="Times New Roman" w:cs="Times New Roman"/>
          <w:sz w:val="24"/>
          <w:szCs w:val="24"/>
        </w:rPr>
        <w:t xml:space="preserve">. Raúl </w:t>
      </w:r>
      <w:proofErr w:type="spellStart"/>
      <w:r>
        <w:rPr>
          <w:rFonts w:ascii="Times New Roman" w:eastAsia="Times New Roman" w:hAnsi="Times New Roman" w:cs="Times New Roman"/>
          <w:sz w:val="24"/>
          <w:szCs w:val="24"/>
        </w:rPr>
        <w:t>Elhart</w:t>
      </w:r>
      <w:proofErr w:type="spellEnd"/>
      <w:r>
        <w:rPr>
          <w:rFonts w:ascii="Times New Roman" w:eastAsia="Times New Roman" w:hAnsi="Times New Roman" w:cs="Times New Roman"/>
          <w:sz w:val="24"/>
          <w:szCs w:val="24"/>
        </w:rPr>
        <w:t>, en “Sob</w:t>
      </w:r>
      <w:r>
        <w:rPr>
          <w:rFonts w:ascii="Times New Roman" w:eastAsia="Times New Roman" w:hAnsi="Times New Roman" w:cs="Times New Roman"/>
          <w:sz w:val="24"/>
          <w:szCs w:val="24"/>
        </w:rPr>
        <w:t>re la imposibilidad de conceder la suspensión del juicio a prueba, ni otras alternativas distintas al debate oral, en los supuestos de delitos que impliquen violencia contra la mujer”, Suplemento de Derecho Penal y Procesal Penal, ElDial.com). Otra parte d</w:t>
      </w:r>
      <w:r>
        <w:rPr>
          <w:rFonts w:ascii="Times New Roman" w:eastAsia="Times New Roman" w:hAnsi="Times New Roman" w:cs="Times New Roman"/>
          <w:sz w:val="24"/>
          <w:szCs w:val="24"/>
        </w:rPr>
        <w:t>e la doctrina y la jurisprudencia han admitido y asimilado -sin más- que “Góngora” operaría como restricción solo en determinados casos relativos a la suspensión del juicio a prueba. No obstante, tal como señala un fallo del Tribunal Criminal N° 7 del Depa</w:t>
      </w:r>
      <w:r>
        <w:rPr>
          <w:rFonts w:ascii="Times New Roman" w:eastAsia="Times New Roman" w:hAnsi="Times New Roman" w:cs="Times New Roman"/>
          <w:sz w:val="24"/>
          <w:szCs w:val="24"/>
        </w:rPr>
        <w:t>rtamento Judicial de San Martín, Buenos Aires, en la causa “</w:t>
      </w:r>
      <w:proofErr w:type="spellStart"/>
      <w:r>
        <w:rPr>
          <w:rFonts w:ascii="Times New Roman" w:eastAsia="Times New Roman" w:hAnsi="Times New Roman" w:cs="Times New Roman"/>
          <w:sz w:val="24"/>
          <w:szCs w:val="24"/>
        </w:rPr>
        <w:t>C.Z.C</w:t>
      </w:r>
      <w:proofErr w:type="spellEnd"/>
      <w:r>
        <w:rPr>
          <w:rFonts w:ascii="Times New Roman" w:eastAsia="Times New Roman" w:hAnsi="Times New Roman" w:cs="Times New Roman"/>
          <w:sz w:val="24"/>
          <w:szCs w:val="24"/>
        </w:rPr>
        <w:t>.”, ello es erróneo cuando se examina el fallo de la Corte, porque la restricción opera sobre “cualquier vía alternativa que no sea el debate”. Además, la Corte ha señalado que: “... el desar</w:t>
      </w:r>
      <w:r>
        <w:rPr>
          <w:rFonts w:ascii="Times New Roman" w:eastAsia="Times New Roman" w:hAnsi="Times New Roman" w:cs="Times New Roman"/>
          <w:sz w:val="24"/>
          <w:szCs w:val="24"/>
        </w:rPr>
        <w:t xml:space="preserve">rollo del debate es de </w:t>
      </w:r>
      <w:r>
        <w:rPr>
          <w:rFonts w:ascii="Times New Roman" w:eastAsia="Times New Roman" w:hAnsi="Times New Roman" w:cs="Times New Roman"/>
          <w:sz w:val="24"/>
          <w:szCs w:val="24"/>
        </w:rPr>
        <w:lastRenderedPageBreak/>
        <w:t>trascendencia capital efectos de posibilitar que la víctima asuma la facultad de comparecer para efectivizar el "acceso efectivo" al proceso (...) de la manera más amplia posible, en pos de hacer valer su pretensión sancionatoria…”.</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casuística de nuestra provincia encontramos que en diciembre del pasado año el Juzgado de Garantías Nº 2 de la ciudad de Paraná, rechazó un acuerdo de procedimiento abreviado presentado por la Fiscalía y la defensa de un hombre oriundo de María Grand</w:t>
      </w:r>
      <w:r>
        <w:rPr>
          <w:rFonts w:ascii="Times New Roman" w:eastAsia="Times New Roman" w:hAnsi="Times New Roman" w:cs="Times New Roman"/>
          <w:sz w:val="24"/>
          <w:szCs w:val="24"/>
        </w:rPr>
        <w:t xml:space="preserve">e, para lo cual tuvo en cuenta las circunstancias de la comisión del hecho abusivo y el contexto de violencia de género en el que se había consumado. </w:t>
      </w:r>
    </w:p>
    <w:p w:rsidR="009E15A3" w:rsidRDefault="00664235">
      <w:pPr>
        <w:spacing w:after="120" w:line="360" w:lineRule="auto"/>
        <w:ind w:firstLine="113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Por estas razones y para brindar normas que contengan prohibiciones claras que limiten las posibilidades </w:t>
      </w:r>
      <w:r>
        <w:rPr>
          <w:rFonts w:ascii="Times New Roman" w:eastAsia="Times New Roman" w:hAnsi="Times New Roman" w:cs="Times New Roman"/>
          <w:sz w:val="24"/>
          <w:szCs w:val="24"/>
        </w:rPr>
        <w:t>de interpretación y el tratamiento permisivo por parte de algunos operadores del sistema judicial proponemos introducir modificaciones al Código Procesal Penal prohibitivas de la aplicación del instituto del Proceso Abreviado en los casos de los delitos pr</w:t>
      </w:r>
      <w:r>
        <w:rPr>
          <w:rFonts w:ascii="Times New Roman" w:eastAsia="Times New Roman" w:hAnsi="Times New Roman" w:cs="Times New Roman"/>
          <w:sz w:val="24"/>
          <w:szCs w:val="24"/>
        </w:rPr>
        <w:t xml:space="preserve">evistos en el Capítulo II del Título III del Libro Segundo del Código Penal de la Nación. Esta limitación a la posibilidad de utilizar el juicio abreviado va en el sentido reclamado de evitar que, mediante un artilugio jurídico los delincuentes sexuales y </w:t>
      </w:r>
      <w:r>
        <w:rPr>
          <w:rFonts w:ascii="Times New Roman" w:eastAsia="Times New Roman" w:hAnsi="Times New Roman" w:cs="Times New Roman"/>
          <w:sz w:val="24"/>
          <w:szCs w:val="24"/>
        </w:rPr>
        <w:t>de género queden liberados sin cumplir con las penas que correspondan a tan aberrantes conductas; siempre, claro está, que</w:t>
      </w:r>
      <w:r>
        <w:rPr>
          <w:rFonts w:ascii="Times New Roman" w:eastAsia="Times New Roman" w:hAnsi="Times New Roman" w:cs="Times New Roman"/>
          <w:sz w:val="24"/>
          <w:szCs w:val="24"/>
          <w:highlight w:val="white"/>
        </w:rPr>
        <w:t xml:space="preserve"> haya razones fundadas para creer que se ha producido el delito.</w:t>
      </w:r>
    </w:p>
    <w:p w:rsidR="009E15A3" w:rsidRDefault="00664235">
      <w:pPr>
        <w:spacing w:after="120"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las reformas legislativas no pueden ser tomadas a la lige</w:t>
      </w:r>
      <w:r>
        <w:rPr>
          <w:rFonts w:ascii="Times New Roman" w:eastAsia="Times New Roman" w:hAnsi="Times New Roman" w:cs="Times New Roman"/>
          <w:sz w:val="24"/>
          <w:szCs w:val="24"/>
        </w:rPr>
        <w:t>ra porque en ellas se conjugan muchos factores que se deben tener en cuenta. Más aún, cuando se trata de derecho penal, fuente de ingentes comentarios que muchas veces carecen del rigor técnico que la disciplina impone, de modo que el presente proyecto que</w:t>
      </w:r>
      <w:r>
        <w:rPr>
          <w:rFonts w:ascii="Times New Roman" w:eastAsia="Times New Roman" w:hAnsi="Times New Roman" w:cs="Times New Roman"/>
          <w:sz w:val="24"/>
          <w:szCs w:val="24"/>
        </w:rPr>
        <w:t xml:space="preserve">da abierto a todo aporte superador, que bueno sería se introduzca con la urgencia y rapidez de acción que la ciudadanía nos exige. </w:t>
      </w:r>
    </w:p>
    <w:p w:rsidR="009E15A3" w:rsidRDefault="00664235">
      <w:pPr>
        <w:spacing w:after="120" w:line="360" w:lineRule="auto"/>
        <w:ind w:firstLine="113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Por todo lo expuesto, solicito a mis pares la aprobación de este Proyecto de Ley.</w:t>
      </w:r>
      <w:r>
        <w:rPr>
          <w:rFonts w:ascii="Times New Roman" w:eastAsia="Times New Roman" w:hAnsi="Times New Roman" w:cs="Times New Roman"/>
          <w:b/>
          <w:sz w:val="24"/>
          <w:szCs w:val="24"/>
        </w:rPr>
        <w:t xml:space="preserve"> </w:t>
      </w:r>
    </w:p>
    <w:p w:rsidR="009E15A3" w:rsidRDefault="009E15A3">
      <w:pPr>
        <w:spacing w:line="360" w:lineRule="auto"/>
        <w:jc w:val="center"/>
        <w:rPr>
          <w:rFonts w:ascii="Times New Roman" w:eastAsia="Times New Roman" w:hAnsi="Times New Roman" w:cs="Times New Roman"/>
          <w:b/>
          <w:sz w:val="24"/>
          <w:szCs w:val="24"/>
        </w:rPr>
      </w:pPr>
    </w:p>
    <w:p w:rsidR="009E15A3" w:rsidRDefault="009E15A3">
      <w:pPr>
        <w:spacing w:line="360" w:lineRule="auto"/>
        <w:jc w:val="center"/>
        <w:rPr>
          <w:rFonts w:ascii="Times New Roman" w:eastAsia="Times New Roman" w:hAnsi="Times New Roman" w:cs="Times New Roman"/>
          <w:b/>
          <w:sz w:val="24"/>
          <w:szCs w:val="24"/>
        </w:rPr>
      </w:pPr>
    </w:p>
    <w:p w:rsidR="009E15A3" w:rsidRDefault="00664235">
      <w:r>
        <w:br w:type="page"/>
      </w:r>
    </w:p>
    <w:p w:rsidR="009E15A3" w:rsidRDefault="009E15A3">
      <w:pPr>
        <w:spacing w:line="360" w:lineRule="auto"/>
        <w:jc w:val="center"/>
        <w:rPr>
          <w:rFonts w:ascii="Times New Roman" w:eastAsia="Times New Roman" w:hAnsi="Times New Roman" w:cs="Times New Roman"/>
          <w:b/>
          <w:sz w:val="24"/>
          <w:szCs w:val="24"/>
        </w:rPr>
      </w:pPr>
    </w:p>
    <w:p w:rsidR="009E15A3" w:rsidRDefault="00664235">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LEGISLATURA DE LA PROVINCIA DE EN</w:t>
      </w:r>
      <w:r>
        <w:rPr>
          <w:rFonts w:ascii="Times New Roman" w:eastAsia="Times New Roman" w:hAnsi="Times New Roman" w:cs="Times New Roman"/>
          <w:b/>
          <w:sz w:val="24"/>
          <w:szCs w:val="24"/>
        </w:rPr>
        <w:t>TRE RÍOS</w:t>
      </w:r>
    </w:p>
    <w:p w:rsidR="009E15A3" w:rsidRDefault="00664235">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SANCIONA CON FUERZA DE</w:t>
      </w:r>
    </w:p>
    <w:p w:rsidR="009E15A3" w:rsidRDefault="00664235">
      <w:pPr>
        <w:spacing w:after="16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 E </w:t>
      </w:r>
      <w:proofErr w:type="gramStart"/>
      <w:r>
        <w:rPr>
          <w:rFonts w:ascii="Times New Roman" w:eastAsia="Times New Roman" w:hAnsi="Times New Roman" w:cs="Times New Roman"/>
          <w:b/>
          <w:sz w:val="24"/>
          <w:szCs w:val="24"/>
        </w:rPr>
        <w:t>Y :</w:t>
      </w:r>
      <w:proofErr w:type="gramEnd"/>
    </w:p>
    <w:p w:rsidR="009E15A3" w:rsidRDefault="009E15A3">
      <w:pPr>
        <w:spacing w:after="160" w:line="360" w:lineRule="auto"/>
        <w:jc w:val="center"/>
        <w:rPr>
          <w:rFonts w:ascii="Times New Roman" w:eastAsia="Times New Roman" w:hAnsi="Times New Roman" w:cs="Times New Roman"/>
          <w:b/>
          <w:sz w:val="24"/>
          <w:szCs w:val="24"/>
        </w:rPr>
      </w:pPr>
    </w:p>
    <w:p w:rsidR="009E15A3" w:rsidRDefault="00664235">
      <w:pPr>
        <w:spacing w:line="360" w:lineRule="auto"/>
        <w:ind w:firstLine="1137"/>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Artículo 1º</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Incorpórase</w:t>
      </w:r>
      <w:proofErr w:type="spellEnd"/>
      <w:r>
        <w:rPr>
          <w:rFonts w:ascii="Times New Roman" w:eastAsia="Times New Roman" w:hAnsi="Times New Roman" w:cs="Times New Roman"/>
          <w:sz w:val="24"/>
          <w:szCs w:val="24"/>
        </w:rPr>
        <w:t xml:space="preserve"> a la Ley N° 9.754 y sus modificatorias (Código Procesal Penal de la Provincia de Entre Ríos) el artículo siguiente: </w:t>
      </w:r>
      <w:r>
        <w:rPr>
          <w:rFonts w:ascii="Times New Roman" w:eastAsia="Times New Roman" w:hAnsi="Times New Roman" w:cs="Times New Roman"/>
          <w:b/>
          <w:i/>
          <w:sz w:val="24"/>
          <w:szCs w:val="24"/>
        </w:rPr>
        <w:t xml:space="preserve">“Artículo 391 bis: </w:t>
      </w:r>
      <w:r>
        <w:rPr>
          <w:rFonts w:ascii="Times New Roman" w:eastAsia="Times New Roman" w:hAnsi="Times New Roman" w:cs="Times New Roman"/>
          <w:b/>
          <w:i/>
          <w:sz w:val="24"/>
          <w:szCs w:val="24"/>
          <w:highlight w:val="white"/>
        </w:rPr>
        <w:t>No regirá lo dispuesto en este Capítulo, cuando el Impu</w:t>
      </w:r>
      <w:r>
        <w:rPr>
          <w:rFonts w:ascii="Times New Roman" w:eastAsia="Times New Roman" w:hAnsi="Times New Roman" w:cs="Times New Roman"/>
          <w:b/>
          <w:i/>
          <w:sz w:val="24"/>
          <w:szCs w:val="24"/>
          <w:highlight w:val="white"/>
        </w:rPr>
        <w:t>tado</w:t>
      </w:r>
      <w:r>
        <w:rPr>
          <w:rFonts w:ascii="Times New Roman" w:eastAsia="Times New Roman" w:hAnsi="Times New Roman" w:cs="Times New Roman"/>
          <w:b/>
          <w:i/>
          <w:sz w:val="24"/>
          <w:szCs w:val="24"/>
        </w:rPr>
        <w:t xml:space="preserve"> lo esté por alguno de los delitos previstos en el Capítulo II del Título III del Libro Segundo del Código Penal de la Nación, aunque hubiere una expresa solicitud de la víctima o sus familiares.”</w:t>
      </w:r>
      <w:r>
        <w:rPr>
          <w:rFonts w:ascii="Times New Roman" w:eastAsia="Times New Roman" w:hAnsi="Times New Roman" w:cs="Times New Roman"/>
          <w:i/>
          <w:sz w:val="24"/>
          <w:szCs w:val="24"/>
        </w:rPr>
        <w:br/>
      </w:r>
    </w:p>
    <w:p w:rsidR="009E15A3" w:rsidRDefault="00664235">
      <w:pPr>
        <w:spacing w:line="360" w:lineRule="auto"/>
        <w:ind w:firstLine="113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u w:val="single"/>
        </w:rPr>
        <w:t>Artículo 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Incorpórase</w:t>
      </w:r>
      <w:proofErr w:type="spellEnd"/>
      <w:r>
        <w:rPr>
          <w:rFonts w:ascii="Times New Roman" w:eastAsia="Times New Roman" w:hAnsi="Times New Roman" w:cs="Times New Roman"/>
          <w:sz w:val="24"/>
          <w:szCs w:val="24"/>
        </w:rPr>
        <w:t xml:space="preserve"> al artículo 479 de la Ley N° 9.754 y sus modificatorias (Código Procesal Penal de la Provincia de Entre Ríos) el párrafo siguiente: </w:t>
      </w:r>
      <w:r>
        <w:rPr>
          <w:rFonts w:ascii="Times New Roman" w:eastAsia="Times New Roman" w:hAnsi="Times New Roman" w:cs="Times New Roman"/>
          <w:b/>
          <w:i/>
          <w:sz w:val="24"/>
          <w:szCs w:val="24"/>
          <w:highlight w:val="white"/>
        </w:rPr>
        <w:t>“Queda exceptuado el Imputado</w:t>
      </w:r>
      <w:r>
        <w:rPr>
          <w:rFonts w:ascii="Times New Roman" w:eastAsia="Times New Roman" w:hAnsi="Times New Roman" w:cs="Times New Roman"/>
          <w:b/>
          <w:i/>
          <w:sz w:val="24"/>
          <w:szCs w:val="24"/>
        </w:rPr>
        <w:t xml:space="preserve"> que lo esté por alguno de los delitos previstos en el Capítulo II del Título III</w:t>
      </w:r>
      <w:r>
        <w:rPr>
          <w:rFonts w:ascii="Times New Roman" w:eastAsia="Times New Roman" w:hAnsi="Times New Roman" w:cs="Times New Roman"/>
          <w:b/>
          <w:i/>
          <w:sz w:val="24"/>
          <w:szCs w:val="24"/>
        </w:rPr>
        <w:t xml:space="preserve"> del Libro Segundo del Código Penal de la Nación, aunque hubiere una expresa solicitud de la víctima o sus familiares.”</w:t>
      </w:r>
    </w:p>
    <w:p w:rsidR="009E15A3" w:rsidRDefault="009E15A3">
      <w:pPr>
        <w:spacing w:line="360" w:lineRule="auto"/>
        <w:ind w:firstLine="1137"/>
        <w:jc w:val="both"/>
        <w:rPr>
          <w:rFonts w:ascii="Times New Roman" w:eastAsia="Times New Roman" w:hAnsi="Times New Roman" w:cs="Times New Roman"/>
          <w:b/>
          <w:i/>
          <w:sz w:val="24"/>
          <w:szCs w:val="24"/>
        </w:rPr>
      </w:pPr>
    </w:p>
    <w:p w:rsidR="009E15A3" w:rsidRDefault="00664235">
      <w:pPr>
        <w:spacing w:line="360" w:lineRule="auto"/>
        <w:ind w:firstLine="1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Artículo 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 forma.</w:t>
      </w:r>
    </w:p>
    <w:p w:rsidR="009E15A3" w:rsidRDefault="009E15A3">
      <w:pPr>
        <w:spacing w:line="360" w:lineRule="auto"/>
        <w:ind w:firstLine="1137"/>
        <w:jc w:val="right"/>
        <w:rPr>
          <w:rFonts w:ascii="Times New Roman" w:eastAsia="Times New Roman" w:hAnsi="Times New Roman" w:cs="Times New Roman"/>
          <w:sz w:val="24"/>
          <w:szCs w:val="24"/>
        </w:rPr>
      </w:pPr>
    </w:p>
    <w:sectPr w:rsidR="009E15A3">
      <w:pgSz w:w="11906" w:h="16838"/>
      <w:pgMar w:top="3118" w:right="1133" w:bottom="1133" w:left="22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5A3"/>
    <w:rsid w:val="00664235"/>
    <w:rsid w:val="009E15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7537A-1003-464C-AC23-AEA812C5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1735</Words>
  <Characters>9546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2017-05-02T20:43:00Z</dcterms:created>
  <dcterms:modified xsi:type="dcterms:W3CDTF">2017-05-02T20:43:00Z</dcterms:modified>
</cp:coreProperties>
</file>